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1E2E" w:rsidRDefault="00EA5F91">
      <w:pPr>
        <w:jc w:val="center"/>
        <w:rPr>
          <w:rFonts w:ascii="宋体" w:hAnsi="宋体"/>
          <w:b/>
        </w:rPr>
      </w:pPr>
      <w:r>
        <w:rPr>
          <w:rFonts w:ascii="宋体" w:hAnsi="宋体" w:hint="eastAsia"/>
          <w:b/>
        </w:rPr>
        <w:t>采购</w:t>
      </w:r>
      <w:r>
        <w:rPr>
          <w:rFonts w:ascii="宋体" w:hAnsi="宋体"/>
          <w:b/>
        </w:rPr>
        <w:t>包四：</w:t>
      </w:r>
      <w:r>
        <w:rPr>
          <w:rFonts w:ascii="宋体" w:hAnsi="宋体" w:hint="eastAsia"/>
          <w:b/>
        </w:rPr>
        <w:t>连续</w:t>
      </w:r>
      <w:r>
        <w:rPr>
          <w:rFonts w:ascii="宋体" w:hAnsi="宋体"/>
          <w:b/>
        </w:rPr>
        <w:t>流动分析仪招标</w:t>
      </w:r>
      <w:r w:rsidR="00040B15">
        <w:rPr>
          <w:rFonts w:ascii="宋体" w:hAnsi="宋体"/>
          <w:b/>
        </w:rPr>
        <w:t>技术</w:t>
      </w:r>
      <w:r>
        <w:rPr>
          <w:rFonts w:ascii="宋体" w:hAnsi="宋体" w:hint="eastAsia"/>
          <w:b/>
        </w:rPr>
        <w:t>参数</w:t>
      </w:r>
    </w:p>
    <w:p w:rsidR="00EA5F91" w:rsidRPr="00EA5F91" w:rsidRDefault="00EA5F91">
      <w:pPr>
        <w:jc w:val="center"/>
        <w:rPr>
          <w:rFonts w:ascii="宋体" w:hAnsi="宋体" w:hint="eastAsia"/>
          <w:b/>
        </w:rPr>
      </w:pPr>
      <w:bookmarkStart w:id="0" w:name="_GoBack"/>
      <w:bookmarkEnd w:id="0"/>
    </w:p>
    <w:p w:rsidR="00D51E2E" w:rsidRDefault="00040B15">
      <w:pPr>
        <w:rPr>
          <w:rFonts w:ascii="宋体" w:hAnsi="宋体"/>
        </w:rPr>
      </w:pPr>
      <w:r>
        <w:rPr>
          <w:rFonts w:ascii="宋体" w:hAnsi="宋体"/>
          <w:b/>
        </w:rPr>
        <w:t>一、</w:t>
      </w:r>
      <w:r>
        <w:rPr>
          <w:rFonts w:ascii="宋体" w:hAnsi="宋体"/>
          <w:b/>
          <w:color w:val="000000"/>
        </w:rPr>
        <w:t>仪器应用要求</w:t>
      </w:r>
    </w:p>
    <w:p w:rsidR="00D51E2E" w:rsidRDefault="00040B15">
      <w:pPr>
        <w:rPr>
          <w:rFonts w:ascii="宋体" w:hAnsi="宋体"/>
        </w:rPr>
      </w:pPr>
      <w:r>
        <w:rPr>
          <w:rFonts w:ascii="宋体" w:hAnsi="宋体"/>
        </w:rPr>
        <w:t xml:space="preserve">   主要用于饮用水、地表水中挥发酚、氰化物、硫化物、总氮项目的全自动定量分析。</w:t>
      </w:r>
    </w:p>
    <w:p w:rsidR="00D51E2E" w:rsidRDefault="00040B15">
      <w:pPr>
        <w:tabs>
          <w:tab w:val="left" w:pos="0"/>
        </w:tabs>
        <w:rPr>
          <w:rFonts w:ascii="宋体" w:hAnsi="宋体"/>
          <w:b/>
        </w:rPr>
      </w:pPr>
      <w:r>
        <w:rPr>
          <w:rFonts w:ascii="宋体" w:hAnsi="宋体"/>
          <w:b/>
        </w:rPr>
        <w:t>二、工作环境</w:t>
      </w:r>
    </w:p>
    <w:p w:rsidR="00D51E2E" w:rsidRDefault="00040B15">
      <w:pPr>
        <w:tabs>
          <w:tab w:val="left" w:pos="0"/>
        </w:tabs>
        <w:ind w:firstLine="420"/>
        <w:rPr>
          <w:rFonts w:ascii="宋体" w:hAnsi="宋体"/>
        </w:rPr>
      </w:pPr>
      <w:r>
        <w:rPr>
          <w:rFonts w:ascii="宋体" w:hAnsi="宋体"/>
        </w:rPr>
        <w:t>2.1电压：AC220V±l0%，50Hz；</w:t>
      </w:r>
    </w:p>
    <w:p w:rsidR="00D51E2E" w:rsidRDefault="00040B15">
      <w:pPr>
        <w:tabs>
          <w:tab w:val="left" w:pos="0"/>
        </w:tabs>
        <w:ind w:firstLine="420"/>
        <w:rPr>
          <w:rFonts w:ascii="宋体" w:hAnsi="宋体"/>
        </w:rPr>
      </w:pPr>
      <w:r>
        <w:rPr>
          <w:rFonts w:ascii="宋体" w:hAnsi="宋体"/>
        </w:rPr>
        <w:t>2.2温度：0℃～40℃；</w:t>
      </w:r>
    </w:p>
    <w:p w:rsidR="00D51E2E" w:rsidRDefault="00040B15">
      <w:pPr>
        <w:tabs>
          <w:tab w:val="left" w:pos="0"/>
        </w:tabs>
        <w:ind w:firstLine="420"/>
        <w:rPr>
          <w:rFonts w:ascii="宋体" w:hAnsi="宋体"/>
        </w:rPr>
      </w:pPr>
      <w:r>
        <w:rPr>
          <w:rFonts w:ascii="宋体" w:hAnsi="宋体"/>
        </w:rPr>
        <w:t>2.3湿度：≤90％；</w:t>
      </w:r>
    </w:p>
    <w:p w:rsidR="00D51E2E" w:rsidRDefault="00040B15">
      <w:pPr>
        <w:tabs>
          <w:tab w:val="left" w:pos="0"/>
        </w:tabs>
        <w:rPr>
          <w:rFonts w:ascii="宋体" w:hAnsi="宋体"/>
          <w:b/>
        </w:rPr>
      </w:pPr>
      <w:r>
        <w:rPr>
          <w:rFonts w:ascii="宋体" w:hAnsi="宋体"/>
          <w:b/>
        </w:rPr>
        <w:t>三.技术指标要求：</w:t>
      </w:r>
    </w:p>
    <w:p w:rsidR="00D51E2E" w:rsidRDefault="00040B15">
      <w:pPr>
        <w:tabs>
          <w:tab w:val="left" w:pos="0"/>
        </w:tabs>
        <w:ind w:firstLine="420"/>
        <w:rPr>
          <w:rFonts w:ascii="宋体" w:hAnsi="宋体"/>
        </w:rPr>
      </w:pPr>
      <w:r>
        <w:rPr>
          <w:rFonts w:ascii="宋体" w:hAnsi="宋体"/>
        </w:rPr>
        <w:t>3. 1挥发酚：</w:t>
      </w:r>
    </w:p>
    <w:p w:rsidR="00D51E2E" w:rsidRDefault="00040B15">
      <w:pPr>
        <w:tabs>
          <w:tab w:val="left" w:pos="0"/>
        </w:tabs>
        <w:ind w:firstLine="420"/>
        <w:rPr>
          <w:rFonts w:ascii="宋体" w:hAnsi="宋体"/>
        </w:rPr>
      </w:pPr>
      <w:r>
        <w:rPr>
          <w:rFonts w:ascii="宋体" w:hAnsi="宋体"/>
        </w:rPr>
        <w:t>3.1.1分析方法：4-氨基安替比林分光光度法；</w:t>
      </w:r>
    </w:p>
    <w:p w:rsidR="00D51E2E" w:rsidRDefault="00040B15">
      <w:pPr>
        <w:tabs>
          <w:tab w:val="left" w:pos="0"/>
        </w:tabs>
        <w:ind w:firstLine="422"/>
        <w:rPr>
          <w:rFonts w:ascii="宋体" w:hAnsi="宋体"/>
        </w:rPr>
      </w:pPr>
      <w:r>
        <w:rPr>
          <w:rFonts w:hAnsi="宋体"/>
          <w:b/>
        </w:rPr>
        <w:t>*</w:t>
      </w:r>
      <w:r>
        <w:rPr>
          <w:rFonts w:ascii="宋体" w:hAnsi="宋体"/>
        </w:rPr>
        <w:t>3.1.2特别要求：在线蒸馏、冷却，蒸馏无需额外配置气体钢瓶，无需氮气吹扫，方便实验人员操作及减少安全隐患；</w:t>
      </w:r>
    </w:p>
    <w:p w:rsidR="00D51E2E" w:rsidRDefault="00040B15">
      <w:pPr>
        <w:tabs>
          <w:tab w:val="left" w:pos="0"/>
        </w:tabs>
        <w:ind w:firstLine="422"/>
        <w:rPr>
          <w:rFonts w:ascii="宋体" w:hAnsi="宋体"/>
        </w:rPr>
      </w:pPr>
      <w:r>
        <w:rPr>
          <w:rFonts w:hAnsi="宋体"/>
          <w:b/>
        </w:rPr>
        <w:t>*</w:t>
      </w:r>
      <w:r>
        <w:rPr>
          <w:rFonts w:ascii="宋体" w:hAnsi="宋体"/>
        </w:rPr>
        <w:t>3.1.3挥发酚检测使用≥50mm长光程比色池在1.0ug/L处有明显吸收峰（提供清晰证明谱图1张予以佐证）；</w:t>
      </w:r>
    </w:p>
    <w:p w:rsidR="00D51E2E" w:rsidRDefault="00040B15">
      <w:pPr>
        <w:tabs>
          <w:tab w:val="left" w:pos="0"/>
        </w:tabs>
        <w:ind w:firstLine="420"/>
        <w:rPr>
          <w:rFonts w:ascii="宋体" w:hAnsi="宋体"/>
        </w:rPr>
      </w:pPr>
      <w:r>
        <w:rPr>
          <w:rFonts w:ascii="宋体" w:hAnsi="宋体"/>
        </w:rPr>
        <w:t>3.1.4测量范围：0.5-200ug/L；</w:t>
      </w:r>
    </w:p>
    <w:p w:rsidR="00D51E2E" w:rsidRDefault="00040B15">
      <w:pPr>
        <w:tabs>
          <w:tab w:val="left" w:pos="0"/>
        </w:tabs>
        <w:ind w:firstLine="420"/>
        <w:rPr>
          <w:rFonts w:ascii="宋体" w:hAnsi="宋体"/>
        </w:rPr>
      </w:pPr>
      <w:r>
        <w:rPr>
          <w:rFonts w:ascii="宋体" w:hAnsi="宋体"/>
        </w:rPr>
        <w:t>3.1.5检测极限：≤0.5ug /L；</w:t>
      </w:r>
    </w:p>
    <w:p w:rsidR="00D51E2E" w:rsidRDefault="00040B15">
      <w:pPr>
        <w:tabs>
          <w:tab w:val="left" w:pos="0"/>
        </w:tabs>
        <w:ind w:firstLine="420"/>
        <w:rPr>
          <w:rFonts w:ascii="宋体" w:hAnsi="宋体"/>
        </w:rPr>
      </w:pPr>
      <w:r>
        <w:rPr>
          <w:rFonts w:ascii="宋体" w:hAnsi="宋体"/>
        </w:rPr>
        <w:t>3.2氰化物：</w:t>
      </w:r>
    </w:p>
    <w:p w:rsidR="00D51E2E" w:rsidRDefault="00040B15">
      <w:pPr>
        <w:tabs>
          <w:tab w:val="left" w:pos="0"/>
        </w:tabs>
        <w:ind w:firstLine="420"/>
        <w:rPr>
          <w:rFonts w:ascii="宋体" w:hAnsi="宋体"/>
        </w:rPr>
      </w:pPr>
      <w:r>
        <w:rPr>
          <w:rFonts w:ascii="宋体" w:hAnsi="宋体"/>
        </w:rPr>
        <w:t>3.2.1分析方法：异烟酸-吡唑啉酮分光光度法；</w:t>
      </w:r>
    </w:p>
    <w:p w:rsidR="00D51E2E" w:rsidRDefault="00040B15">
      <w:pPr>
        <w:tabs>
          <w:tab w:val="left" w:pos="0"/>
        </w:tabs>
        <w:ind w:firstLine="420"/>
        <w:rPr>
          <w:rFonts w:ascii="宋体" w:hAnsi="宋体"/>
        </w:rPr>
      </w:pPr>
      <w:r>
        <w:rPr>
          <w:rFonts w:ascii="宋体" w:hAnsi="宋体"/>
        </w:rPr>
        <w:t>3.2.2特别要求：在线蒸馏、消解、加热、冷却；</w:t>
      </w:r>
    </w:p>
    <w:p w:rsidR="00D51E2E" w:rsidRDefault="00040B15">
      <w:pPr>
        <w:tabs>
          <w:tab w:val="left" w:pos="0"/>
        </w:tabs>
        <w:ind w:firstLine="420"/>
        <w:rPr>
          <w:rFonts w:ascii="宋体" w:hAnsi="宋体"/>
        </w:rPr>
      </w:pPr>
      <w:r>
        <w:rPr>
          <w:rFonts w:ascii="宋体" w:hAnsi="宋体"/>
        </w:rPr>
        <w:t>3.2.3测量范围：0.5-200ug/L；</w:t>
      </w:r>
    </w:p>
    <w:p w:rsidR="00D51E2E" w:rsidRDefault="00040B15">
      <w:pPr>
        <w:tabs>
          <w:tab w:val="left" w:pos="0"/>
        </w:tabs>
        <w:ind w:firstLine="420"/>
        <w:rPr>
          <w:rFonts w:ascii="宋体" w:hAnsi="宋体"/>
        </w:rPr>
      </w:pPr>
      <w:r>
        <w:rPr>
          <w:rFonts w:ascii="宋体" w:hAnsi="宋体"/>
        </w:rPr>
        <w:t>3.2.4检测极限：≤0.5ug /L；</w:t>
      </w:r>
    </w:p>
    <w:p w:rsidR="00D51E2E" w:rsidRDefault="00040B15">
      <w:pPr>
        <w:tabs>
          <w:tab w:val="left" w:pos="0"/>
        </w:tabs>
        <w:ind w:firstLine="420"/>
        <w:rPr>
          <w:rFonts w:ascii="宋体" w:hAnsi="宋体"/>
        </w:rPr>
      </w:pPr>
      <w:r>
        <w:rPr>
          <w:rFonts w:ascii="宋体" w:hAnsi="宋体"/>
        </w:rPr>
        <w:t>3.3硫化物：</w:t>
      </w:r>
    </w:p>
    <w:p w:rsidR="00D51E2E" w:rsidRDefault="00040B15">
      <w:pPr>
        <w:tabs>
          <w:tab w:val="left" w:pos="0"/>
        </w:tabs>
        <w:ind w:firstLine="420"/>
        <w:rPr>
          <w:rFonts w:ascii="宋体" w:hAnsi="宋体"/>
        </w:rPr>
      </w:pPr>
      <w:r>
        <w:rPr>
          <w:rFonts w:ascii="宋体" w:hAnsi="宋体"/>
        </w:rPr>
        <w:t>3.3.1分析方法：亚甲基蓝分光光度法</w:t>
      </w:r>
    </w:p>
    <w:p w:rsidR="00D51E2E" w:rsidRDefault="00040B15">
      <w:pPr>
        <w:tabs>
          <w:tab w:val="left" w:pos="0"/>
        </w:tabs>
        <w:ind w:firstLine="420"/>
        <w:rPr>
          <w:rFonts w:ascii="宋体" w:hAnsi="宋体"/>
        </w:rPr>
      </w:pPr>
      <w:r>
        <w:rPr>
          <w:rFonts w:ascii="宋体" w:hAnsi="宋体"/>
        </w:rPr>
        <w:t>3.3.2测测范围：0.005-2mg/L</w:t>
      </w:r>
    </w:p>
    <w:p w:rsidR="00D51E2E" w:rsidRDefault="00040B15">
      <w:pPr>
        <w:tabs>
          <w:tab w:val="left" w:pos="0"/>
        </w:tabs>
        <w:ind w:firstLine="420"/>
        <w:rPr>
          <w:rFonts w:ascii="宋体" w:hAnsi="宋体"/>
        </w:rPr>
      </w:pPr>
      <w:r>
        <w:rPr>
          <w:rFonts w:ascii="宋体" w:hAnsi="宋体"/>
        </w:rPr>
        <w:t>3.3.3检出限：0.005mg/L</w:t>
      </w:r>
    </w:p>
    <w:p w:rsidR="00D51E2E" w:rsidRDefault="00040B15">
      <w:pPr>
        <w:tabs>
          <w:tab w:val="left" w:pos="0"/>
        </w:tabs>
        <w:ind w:firstLine="420"/>
        <w:rPr>
          <w:rFonts w:ascii="宋体" w:hAnsi="宋体"/>
        </w:rPr>
      </w:pPr>
      <w:r>
        <w:rPr>
          <w:rFonts w:ascii="宋体" w:hAnsi="宋体"/>
        </w:rPr>
        <w:t>3.4总氮：</w:t>
      </w:r>
    </w:p>
    <w:p w:rsidR="00D51E2E" w:rsidRDefault="00040B15">
      <w:pPr>
        <w:tabs>
          <w:tab w:val="left" w:pos="0"/>
        </w:tabs>
        <w:ind w:firstLine="420"/>
        <w:rPr>
          <w:rFonts w:ascii="宋体" w:hAnsi="宋体"/>
        </w:rPr>
      </w:pPr>
      <w:r>
        <w:rPr>
          <w:rFonts w:ascii="宋体" w:hAnsi="宋体"/>
        </w:rPr>
        <w:t>3.4.1分析方法：碱性过硫酸钾氧化，盐酸萘乙二胺分光光度法</w:t>
      </w:r>
    </w:p>
    <w:p w:rsidR="00D51E2E" w:rsidRDefault="00040B15">
      <w:pPr>
        <w:tabs>
          <w:tab w:val="left" w:pos="0"/>
        </w:tabs>
        <w:ind w:firstLine="422"/>
        <w:rPr>
          <w:rFonts w:ascii="宋体" w:hAnsi="宋体"/>
        </w:rPr>
      </w:pPr>
      <w:r>
        <w:rPr>
          <w:rFonts w:hAnsi="宋体"/>
          <w:b/>
        </w:rPr>
        <w:t>*</w:t>
      </w:r>
      <w:r>
        <w:rPr>
          <w:rFonts w:ascii="宋体" w:hAnsi="宋体"/>
        </w:rPr>
        <w:t>3.4.2特别要求：镉圈还原，在线紫外消解</w:t>
      </w:r>
    </w:p>
    <w:p w:rsidR="00D51E2E" w:rsidRDefault="00040B15">
      <w:pPr>
        <w:tabs>
          <w:tab w:val="left" w:pos="0"/>
        </w:tabs>
        <w:ind w:firstLine="420"/>
        <w:rPr>
          <w:rFonts w:ascii="宋体" w:hAnsi="宋体"/>
        </w:rPr>
      </w:pPr>
      <w:r>
        <w:rPr>
          <w:rFonts w:ascii="宋体" w:hAnsi="宋体"/>
        </w:rPr>
        <w:t>3.4.3测测范围：0.025-10mg/L</w:t>
      </w:r>
    </w:p>
    <w:p w:rsidR="00D51E2E" w:rsidRDefault="00040B15">
      <w:pPr>
        <w:tabs>
          <w:tab w:val="left" w:pos="0"/>
        </w:tabs>
        <w:ind w:firstLine="420"/>
        <w:rPr>
          <w:rFonts w:ascii="宋体" w:hAnsi="宋体"/>
        </w:rPr>
      </w:pPr>
      <w:r>
        <w:rPr>
          <w:rFonts w:ascii="宋体" w:hAnsi="宋体"/>
        </w:rPr>
        <w:t>3.4.4检出限：0.015mg/L</w:t>
      </w:r>
    </w:p>
    <w:p w:rsidR="00D51E2E" w:rsidRDefault="00040B15">
      <w:pPr>
        <w:tabs>
          <w:tab w:val="left" w:pos="828"/>
        </w:tabs>
        <w:ind w:left="-252" w:right="-30"/>
        <w:jc w:val="left"/>
        <w:rPr>
          <w:rFonts w:hAnsi="宋体"/>
          <w:b/>
        </w:rPr>
      </w:pPr>
      <w:r>
        <w:rPr>
          <w:rFonts w:hAnsi="宋体"/>
          <w:b/>
        </w:rPr>
        <w:t>四</w:t>
      </w:r>
      <w:r>
        <w:rPr>
          <w:rFonts w:hAnsi="宋体"/>
          <w:b/>
        </w:rPr>
        <w:t xml:space="preserve">. </w:t>
      </w:r>
      <w:r>
        <w:rPr>
          <w:rFonts w:hAnsi="宋体"/>
          <w:b/>
        </w:rPr>
        <w:t>系统配置技术要求</w:t>
      </w:r>
    </w:p>
    <w:p w:rsidR="00D51E2E" w:rsidRDefault="00040B15">
      <w:pPr>
        <w:tabs>
          <w:tab w:val="left" w:pos="0"/>
        </w:tabs>
        <w:ind w:firstLine="420"/>
        <w:rPr>
          <w:rFonts w:ascii="宋体" w:hAnsi="宋体"/>
        </w:rPr>
      </w:pPr>
      <w:r>
        <w:rPr>
          <w:rFonts w:ascii="宋体" w:hAnsi="宋体"/>
        </w:rPr>
        <w:t>4.1自动进样器</w:t>
      </w:r>
    </w:p>
    <w:p w:rsidR="00D51E2E" w:rsidRDefault="00040B15">
      <w:pPr>
        <w:tabs>
          <w:tab w:val="left" w:pos="0"/>
        </w:tabs>
        <w:ind w:firstLine="420"/>
        <w:rPr>
          <w:rFonts w:ascii="宋体" w:hAnsi="宋体"/>
        </w:rPr>
      </w:pPr>
      <w:r>
        <w:rPr>
          <w:rFonts w:ascii="宋体" w:hAnsi="宋体"/>
        </w:rPr>
        <w:t>4.1.1 双针进样器</w:t>
      </w:r>
    </w:p>
    <w:p w:rsidR="00D51E2E" w:rsidRDefault="00040B15">
      <w:pPr>
        <w:tabs>
          <w:tab w:val="left" w:pos="0"/>
        </w:tabs>
        <w:ind w:firstLine="420"/>
        <w:rPr>
          <w:rFonts w:ascii="宋体" w:hAnsi="宋体"/>
        </w:rPr>
      </w:pPr>
      <w:r>
        <w:rPr>
          <w:rFonts w:ascii="宋体" w:hAnsi="宋体"/>
        </w:rPr>
        <w:t>4.1.2USB接口或其他方式与计算机直接相连；计算机软件控制取样时间、清洗时间以及进样针相对样品杯的深度、左右、前后位置；</w:t>
      </w:r>
    </w:p>
    <w:p w:rsidR="00D51E2E" w:rsidRDefault="00040B15">
      <w:pPr>
        <w:tabs>
          <w:tab w:val="left" w:pos="0"/>
        </w:tabs>
        <w:ind w:firstLine="420"/>
        <w:rPr>
          <w:rFonts w:ascii="宋体" w:hAnsi="宋体"/>
        </w:rPr>
      </w:pPr>
      <w:r>
        <w:rPr>
          <w:rFonts w:ascii="宋体" w:hAnsi="宋体"/>
        </w:rPr>
        <w:t>4.2高精度蠕动泵：</w:t>
      </w:r>
    </w:p>
    <w:p w:rsidR="00D51E2E" w:rsidRDefault="00040B15">
      <w:pPr>
        <w:tabs>
          <w:tab w:val="left" w:pos="0"/>
        </w:tabs>
        <w:ind w:firstLine="422"/>
        <w:rPr>
          <w:rFonts w:ascii="宋体" w:hAnsi="宋体"/>
        </w:rPr>
      </w:pPr>
      <w:r>
        <w:rPr>
          <w:rFonts w:hAnsi="宋体"/>
          <w:b/>
        </w:rPr>
        <w:t>*</w:t>
      </w:r>
      <w:r>
        <w:rPr>
          <w:rFonts w:ascii="宋体" w:hAnsi="宋体"/>
        </w:rPr>
        <w:t>4.2.1</w:t>
      </w:r>
      <w:r>
        <w:rPr>
          <w:rFonts w:ascii="宋体" w:hAnsi="宋体"/>
          <w:color w:val="000000"/>
        </w:rPr>
        <w:t>单台蠕动泵泵管位能容纳不少于</w:t>
      </w:r>
      <w:r w:rsidR="00BF7870">
        <w:rPr>
          <w:rFonts w:ascii="宋体" w:hAnsi="宋体"/>
          <w:color w:val="000000"/>
        </w:rPr>
        <w:t>20</w:t>
      </w:r>
      <w:r>
        <w:rPr>
          <w:rFonts w:ascii="宋体" w:hAnsi="宋体"/>
          <w:color w:val="000000"/>
        </w:rPr>
        <w:t>管路，且不少于</w:t>
      </w:r>
      <w:r w:rsidR="00BF7870">
        <w:rPr>
          <w:rFonts w:ascii="宋体" w:hAnsi="宋体"/>
          <w:color w:val="000000"/>
        </w:rPr>
        <w:t>20</w:t>
      </w:r>
      <w:r>
        <w:rPr>
          <w:rFonts w:ascii="宋体" w:hAnsi="宋体"/>
          <w:color w:val="000000"/>
        </w:rPr>
        <w:t>管路压在同一泵盖下，提供单台蠕动泵清晰彩色照片一张以体现该条技术参数</w:t>
      </w:r>
      <w:r>
        <w:rPr>
          <w:rFonts w:ascii="宋体" w:hAnsi="宋体"/>
        </w:rPr>
        <w:t>；</w:t>
      </w:r>
    </w:p>
    <w:p w:rsidR="00D51E2E" w:rsidRDefault="00040B15">
      <w:pPr>
        <w:tabs>
          <w:tab w:val="left" w:pos="0"/>
        </w:tabs>
        <w:ind w:firstLine="422"/>
        <w:rPr>
          <w:rFonts w:ascii="宋体" w:hAnsi="宋体"/>
        </w:rPr>
      </w:pPr>
      <w:r>
        <w:rPr>
          <w:rFonts w:hAnsi="宋体"/>
          <w:b/>
        </w:rPr>
        <w:t>*</w:t>
      </w:r>
      <w:r>
        <w:rPr>
          <w:rFonts w:ascii="宋体" w:hAnsi="宋体"/>
        </w:rPr>
        <w:t>4.2.2</w:t>
      </w:r>
      <w:r>
        <w:rPr>
          <w:rFonts w:ascii="宋体" w:hAnsi="宋体"/>
          <w:color w:val="000000"/>
        </w:rPr>
        <w:t>不采用独立空气泵，提供本条技术要求的证明材料；</w:t>
      </w:r>
    </w:p>
    <w:p w:rsidR="00D51E2E" w:rsidRDefault="00040B15">
      <w:pPr>
        <w:tabs>
          <w:tab w:val="left" w:pos="0"/>
        </w:tabs>
        <w:ind w:firstLine="420"/>
        <w:rPr>
          <w:rFonts w:ascii="宋体" w:hAnsi="宋体"/>
        </w:rPr>
      </w:pPr>
      <w:r>
        <w:rPr>
          <w:rFonts w:ascii="宋体" w:hAnsi="宋体"/>
        </w:rPr>
        <w:t>4.2.3 蠕动速度和频率可以通过计算机调节。</w:t>
      </w:r>
    </w:p>
    <w:p w:rsidR="00D51E2E" w:rsidRDefault="00040B15">
      <w:pPr>
        <w:tabs>
          <w:tab w:val="left" w:pos="0"/>
        </w:tabs>
        <w:ind w:firstLine="420"/>
        <w:rPr>
          <w:rFonts w:ascii="宋体" w:hAnsi="宋体"/>
        </w:rPr>
      </w:pPr>
      <w:r>
        <w:rPr>
          <w:rFonts w:ascii="宋体" w:hAnsi="宋体"/>
        </w:rPr>
        <w:t>4.2.3 蠕动泵具有漏液探测功能，如发生漏液情况，蠕动泵自动停止运行；</w:t>
      </w:r>
    </w:p>
    <w:p w:rsidR="00D51E2E" w:rsidRDefault="00040B15">
      <w:pPr>
        <w:tabs>
          <w:tab w:val="left" w:pos="0"/>
        </w:tabs>
        <w:ind w:firstLine="420"/>
        <w:rPr>
          <w:rFonts w:ascii="宋体" w:hAnsi="宋体"/>
        </w:rPr>
      </w:pPr>
      <w:r>
        <w:rPr>
          <w:rFonts w:ascii="宋体" w:hAnsi="宋体"/>
        </w:rPr>
        <w:t>4.3化学分析模块：</w:t>
      </w:r>
    </w:p>
    <w:p w:rsidR="00D51E2E" w:rsidRDefault="00040B15">
      <w:pPr>
        <w:tabs>
          <w:tab w:val="left" w:pos="0"/>
        </w:tabs>
        <w:ind w:firstLine="420"/>
        <w:rPr>
          <w:rFonts w:ascii="宋体" w:hAnsi="宋体"/>
        </w:rPr>
      </w:pPr>
      <w:r>
        <w:rPr>
          <w:rFonts w:ascii="宋体" w:hAnsi="宋体"/>
        </w:rPr>
        <w:lastRenderedPageBreak/>
        <w:t>4.3.1化学分析模块由内径≥2mm的惰性玻璃圈组成，能清楚看见系统内部液体的运行情况；</w:t>
      </w:r>
    </w:p>
    <w:p w:rsidR="00D51E2E" w:rsidRDefault="00040B15">
      <w:pPr>
        <w:tabs>
          <w:tab w:val="left" w:pos="0"/>
        </w:tabs>
        <w:ind w:firstLine="422"/>
        <w:rPr>
          <w:rFonts w:ascii="宋体" w:hAnsi="宋体"/>
        </w:rPr>
      </w:pPr>
      <w:r>
        <w:rPr>
          <w:rFonts w:hAnsi="宋体"/>
          <w:b/>
        </w:rPr>
        <w:t>*</w:t>
      </w:r>
      <w:r>
        <w:rPr>
          <w:rFonts w:ascii="宋体" w:hAnsi="宋体"/>
        </w:rPr>
        <w:t>4.3.2 在线蒸馏器：温度范围：0-200.0℃，温度控制精度：±0.01℃；介质体积：≥</w:t>
      </w:r>
      <w:r>
        <w:rPr>
          <w:rFonts w:ascii="宋体" w:eastAsia="Arial" w:hAnsi="Arial"/>
        </w:rPr>
        <w:t>5L</w:t>
      </w:r>
      <w:r>
        <w:rPr>
          <w:rFonts w:ascii="宋体" w:hAnsi="宋体"/>
        </w:rPr>
        <w:t xml:space="preserve">； </w:t>
      </w:r>
    </w:p>
    <w:p w:rsidR="00D51E2E" w:rsidRDefault="00040B15">
      <w:pPr>
        <w:tabs>
          <w:tab w:val="left" w:pos="0"/>
        </w:tabs>
        <w:ind w:firstLine="420"/>
        <w:rPr>
          <w:rFonts w:ascii="宋体" w:hAnsi="宋体"/>
        </w:rPr>
      </w:pPr>
      <w:r>
        <w:rPr>
          <w:rFonts w:ascii="宋体" w:hAnsi="宋体"/>
        </w:rPr>
        <w:t>4.3.3 冷却循环水装置：</w:t>
      </w:r>
      <w:r>
        <w:rPr>
          <w:rFonts w:ascii="宋体" w:eastAsia="Arial" w:hAnsi="Arial"/>
        </w:rPr>
        <w:t>温度范围</w:t>
      </w:r>
      <w:r>
        <w:rPr>
          <w:rFonts w:ascii="宋体" w:hAnsi="宋体"/>
        </w:rPr>
        <w:t>5</w:t>
      </w:r>
      <w:r>
        <w:rPr>
          <w:rFonts w:ascii="宋体" w:eastAsia="Arial" w:hAnsi="Arial"/>
        </w:rPr>
        <w:t>-</w:t>
      </w:r>
      <w:r>
        <w:rPr>
          <w:rFonts w:ascii="宋体" w:hAnsi="宋体"/>
        </w:rPr>
        <w:t>35</w:t>
      </w:r>
      <w:r>
        <w:rPr>
          <w:rFonts w:ascii="宋体" w:eastAsia="Arial" w:hAnsi="Arial"/>
        </w:rPr>
        <w:t> ℃，波动度±</w:t>
      </w:r>
      <w:r>
        <w:rPr>
          <w:rFonts w:ascii="宋体" w:eastAsia="Arial" w:hAnsi="Arial"/>
        </w:rPr>
        <w:t>0.1</w:t>
      </w:r>
      <w:r>
        <w:rPr>
          <w:rFonts w:ascii="宋体" w:eastAsia="Arial" w:hAnsi="Arial"/>
        </w:rPr>
        <w:t>℃，容积</w:t>
      </w:r>
      <w:r>
        <w:rPr>
          <w:rFonts w:ascii="宋体" w:hAnsi="宋体"/>
        </w:rPr>
        <w:t>≥</w:t>
      </w:r>
      <w:r>
        <w:rPr>
          <w:rFonts w:ascii="宋体" w:eastAsia="Arial" w:hAnsi="Arial"/>
        </w:rPr>
        <w:t>5L</w:t>
      </w:r>
      <w:r>
        <w:rPr>
          <w:rFonts w:ascii="宋体" w:eastAsia="Arial" w:hAnsi="Arial"/>
        </w:rPr>
        <w:t>，泵最大流量</w:t>
      </w:r>
      <w:r>
        <w:rPr>
          <w:rFonts w:ascii="宋体" w:hAnsi="宋体"/>
        </w:rPr>
        <w:t>≥</w:t>
      </w:r>
      <w:r>
        <w:rPr>
          <w:rFonts w:ascii="宋体" w:eastAsia="Arial" w:hAnsi="Arial"/>
        </w:rPr>
        <w:t>6L/min</w:t>
      </w:r>
      <w:r>
        <w:rPr>
          <w:rFonts w:ascii="宋体" w:eastAsia="Arial" w:hAnsi="Arial"/>
        </w:rPr>
        <w:t>，最高扬程</w:t>
      </w:r>
      <w:r>
        <w:rPr>
          <w:rFonts w:ascii="宋体" w:hAnsi="宋体"/>
        </w:rPr>
        <w:t>≥</w:t>
      </w:r>
      <w:r>
        <w:rPr>
          <w:rFonts w:ascii="宋体" w:eastAsia="Arial" w:hAnsi="Arial"/>
        </w:rPr>
        <w:t>1.5m</w:t>
      </w:r>
      <w:r>
        <w:rPr>
          <w:rFonts w:ascii="宋体" w:hAnsi="宋体"/>
        </w:rPr>
        <w:t>。</w:t>
      </w:r>
    </w:p>
    <w:p w:rsidR="00D51E2E" w:rsidRDefault="00040B15">
      <w:pPr>
        <w:tabs>
          <w:tab w:val="left" w:pos="0"/>
        </w:tabs>
        <w:ind w:firstLine="420"/>
        <w:rPr>
          <w:rFonts w:ascii="宋体" w:hAnsi="宋体"/>
        </w:rPr>
      </w:pPr>
      <w:r>
        <w:rPr>
          <w:rFonts w:ascii="宋体" w:hAnsi="宋体"/>
        </w:rPr>
        <w:t>4.4双光束数字式比色计：</w:t>
      </w:r>
    </w:p>
    <w:p w:rsidR="00D51E2E" w:rsidRDefault="00040B15">
      <w:pPr>
        <w:tabs>
          <w:tab w:val="left" w:pos="0"/>
        </w:tabs>
        <w:ind w:firstLine="422"/>
        <w:rPr>
          <w:rFonts w:ascii="宋体" w:hAnsi="宋体"/>
        </w:rPr>
      </w:pPr>
      <w:r>
        <w:rPr>
          <w:rFonts w:hAnsi="宋体"/>
          <w:b/>
        </w:rPr>
        <w:t>*</w:t>
      </w:r>
      <w:r>
        <w:rPr>
          <w:rFonts w:ascii="宋体" w:hAnsi="宋体"/>
        </w:rPr>
        <w:t>4.4.1</w:t>
      </w:r>
      <w:r>
        <w:rPr>
          <w:rFonts w:ascii="宋体" w:hAnsi="宋体"/>
          <w:color w:val="000000"/>
        </w:rPr>
        <w:t>采用双光束数字式比色计，信号和参比必须是同一束光在通过同一个滤光片后分出的，分为信号和参比两束光，提供证明材料。</w:t>
      </w:r>
    </w:p>
    <w:p w:rsidR="00D51E2E" w:rsidRDefault="00040B15">
      <w:pPr>
        <w:tabs>
          <w:tab w:val="left" w:pos="0"/>
        </w:tabs>
        <w:ind w:firstLine="422"/>
        <w:rPr>
          <w:rFonts w:ascii="宋体" w:hAnsi="宋体"/>
        </w:rPr>
      </w:pPr>
      <w:r>
        <w:rPr>
          <w:rFonts w:hAnsi="宋体"/>
          <w:b/>
        </w:rPr>
        <w:t>*</w:t>
      </w:r>
      <w:r>
        <w:rPr>
          <w:rFonts w:ascii="宋体" w:hAnsi="宋体"/>
        </w:rPr>
        <w:t>4.4.2每个通道比色计完全分开独立，</w:t>
      </w:r>
      <w:r>
        <w:rPr>
          <w:rFonts w:ascii="宋体" w:hAnsi="宋体"/>
          <w:color w:val="000000"/>
        </w:rPr>
        <w:t>每一个通道采用独立的光源，</w:t>
      </w:r>
      <w:r>
        <w:rPr>
          <w:rFonts w:ascii="宋体" w:hAnsi="宋体"/>
        </w:rPr>
        <w:t>不可共用光源，以保证一个光源坏了对另一个没有影响，2通道比色计要求是2个完全分开独立的比色计，不得共用任何部分，并提供2通道比色计实物图，流通池设计采用石英柱体，蓝宝石镶嵌，光源采用氪灯而非普通卤素钨灯；</w:t>
      </w:r>
    </w:p>
    <w:p w:rsidR="00D51E2E" w:rsidRDefault="00040B15">
      <w:pPr>
        <w:tabs>
          <w:tab w:val="left" w:pos="0"/>
        </w:tabs>
        <w:ind w:firstLine="420"/>
        <w:rPr>
          <w:rFonts w:ascii="宋体" w:hAnsi="宋体"/>
        </w:rPr>
      </w:pPr>
      <w:r>
        <w:rPr>
          <w:rFonts w:ascii="宋体" w:hAnsi="宋体"/>
        </w:rPr>
        <w:t>4.4.3线性范围 0-1.8A，数字精度≥1600万像素；</w:t>
      </w:r>
    </w:p>
    <w:p w:rsidR="00D51E2E" w:rsidRDefault="00040B15">
      <w:pPr>
        <w:tabs>
          <w:tab w:val="left" w:pos="0"/>
        </w:tabs>
        <w:ind w:firstLine="422"/>
        <w:rPr>
          <w:rFonts w:ascii="宋体" w:hAnsi="宋体"/>
        </w:rPr>
      </w:pPr>
      <w:r>
        <w:rPr>
          <w:rFonts w:hAnsi="宋体"/>
          <w:b/>
        </w:rPr>
        <w:t>*</w:t>
      </w:r>
      <w:r>
        <w:rPr>
          <w:rFonts w:ascii="宋体" w:hAnsi="宋体"/>
        </w:rPr>
        <w:t>4.4.4要求比色计比色时是置于暗室下进行，并提供暗室比色的实物照片以证明。</w:t>
      </w:r>
    </w:p>
    <w:p w:rsidR="00D51E2E" w:rsidRDefault="00040B15">
      <w:pPr>
        <w:tabs>
          <w:tab w:val="left" w:pos="0"/>
        </w:tabs>
        <w:ind w:firstLine="420"/>
        <w:rPr>
          <w:rFonts w:ascii="宋体" w:hAnsi="宋体"/>
        </w:rPr>
      </w:pPr>
      <w:r>
        <w:rPr>
          <w:rFonts w:ascii="宋体" w:hAnsi="宋体"/>
        </w:rPr>
        <w:t>4.5系统控制、应用软件和相关资料：</w:t>
      </w:r>
    </w:p>
    <w:p w:rsidR="00D51E2E" w:rsidRDefault="00040B15">
      <w:pPr>
        <w:tabs>
          <w:tab w:val="left" w:pos="0"/>
        </w:tabs>
        <w:ind w:firstLine="420"/>
        <w:rPr>
          <w:rFonts w:ascii="宋体" w:hAnsi="宋体"/>
        </w:rPr>
      </w:pPr>
      <w:r>
        <w:rPr>
          <w:rFonts w:ascii="宋体" w:hAnsi="宋体"/>
        </w:rPr>
        <w:t>4.5.1 中英文说明书；控制软件有中文界面；控制软件保证永久免费升级；</w:t>
      </w:r>
    </w:p>
    <w:p w:rsidR="00D51E2E" w:rsidRDefault="00040B15">
      <w:pPr>
        <w:tabs>
          <w:tab w:val="left" w:pos="0"/>
        </w:tabs>
        <w:ind w:firstLine="420"/>
        <w:rPr>
          <w:rFonts w:ascii="宋体" w:hAnsi="宋体"/>
        </w:rPr>
      </w:pPr>
      <w:r>
        <w:rPr>
          <w:rFonts w:ascii="宋体" w:hAnsi="宋体"/>
        </w:rPr>
        <w:t>4.5.2 具有自动质控图功能；具有强制校准曲线通过原点的功能；自动调整基线和增益；</w:t>
      </w:r>
    </w:p>
    <w:p w:rsidR="00D51E2E" w:rsidRDefault="00040B15">
      <w:pPr>
        <w:tabs>
          <w:tab w:val="left" w:pos="0"/>
        </w:tabs>
        <w:ind w:firstLine="420"/>
        <w:rPr>
          <w:rFonts w:ascii="宋体" w:hAnsi="宋体"/>
        </w:rPr>
      </w:pPr>
      <w:r>
        <w:rPr>
          <w:rFonts w:ascii="宋体" w:hAnsi="宋体"/>
        </w:rPr>
        <w:t>4.5.3 计算机界面显示信号/参比百分比，从而表明比色计是双光束的；</w:t>
      </w:r>
    </w:p>
    <w:p w:rsidR="00D51E2E" w:rsidRDefault="00040B15">
      <w:pPr>
        <w:tabs>
          <w:tab w:val="left" w:pos="0"/>
        </w:tabs>
        <w:ind w:firstLine="420"/>
        <w:rPr>
          <w:rFonts w:ascii="宋体" w:hAnsi="宋体"/>
        </w:rPr>
      </w:pPr>
      <w:r>
        <w:rPr>
          <w:rFonts w:ascii="宋体" w:hAnsi="宋体"/>
        </w:rPr>
        <w:t>4.6分析速度:要求每个项目的分析速度均可达到25个样品/小时以上，节省试剂消耗；</w:t>
      </w:r>
    </w:p>
    <w:p w:rsidR="00D51E2E" w:rsidRDefault="00040B15">
      <w:pPr>
        <w:tabs>
          <w:tab w:val="left" w:pos="0"/>
        </w:tabs>
        <w:ind w:firstLine="420"/>
        <w:rPr>
          <w:rFonts w:ascii="宋体" w:hAnsi="宋体"/>
        </w:rPr>
      </w:pPr>
      <w:r>
        <w:rPr>
          <w:rFonts w:ascii="宋体" w:hAnsi="宋体"/>
        </w:rPr>
        <w:t>4.7消耗品和化学试剂：</w:t>
      </w:r>
    </w:p>
    <w:p w:rsidR="00D51E2E" w:rsidRDefault="00040B15">
      <w:pPr>
        <w:tabs>
          <w:tab w:val="left" w:pos="0"/>
        </w:tabs>
        <w:ind w:firstLine="420"/>
        <w:rPr>
          <w:rFonts w:ascii="宋体" w:hAnsi="宋体"/>
        </w:rPr>
      </w:pPr>
      <w:r>
        <w:rPr>
          <w:rFonts w:ascii="宋体" w:hAnsi="宋体"/>
        </w:rPr>
        <w:t>4.9.1供货商需列出两年消耗品（泵管，连接管等）（两年消耗品应包括在投标总价中）；</w:t>
      </w:r>
    </w:p>
    <w:p w:rsidR="00D51E2E" w:rsidRDefault="00040B15">
      <w:pPr>
        <w:tabs>
          <w:tab w:val="left" w:pos="0"/>
        </w:tabs>
        <w:ind w:firstLine="420"/>
        <w:rPr>
          <w:rFonts w:ascii="宋体" w:hAnsi="宋体"/>
        </w:rPr>
      </w:pPr>
      <w:r>
        <w:rPr>
          <w:rFonts w:ascii="宋体" w:hAnsi="宋体"/>
        </w:rPr>
        <w:t>4.9.2化学试剂：所有试剂均要求为国产试剂，无需进口；</w:t>
      </w:r>
    </w:p>
    <w:p w:rsidR="00D51E2E" w:rsidRDefault="00040B15">
      <w:pPr>
        <w:tabs>
          <w:tab w:val="left" w:pos="0"/>
        </w:tabs>
        <w:ind w:firstLine="420"/>
        <w:rPr>
          <w:rFonts w:ascii="宋体" w:hAnsi="宋体"/>
        </w:rPr>
      </w:pPr>
      <w:r>
        <w:rPr>
          <w:rFonts w:ascii="宋体" w:hAnsi="宋体"/>
        </w:rPr>
        <w:t>4.10计算机和打印机:</w:t>
      </w:r>
    </w:p>
    <w:p w:rsidR="00D51E2E" w:rsidRDefault="00040B15">
      <w:pPr>
        <w:tabs>
          <w:tab w:val="left" w:pos="0"/>
        </w:tabs>
        <w:ind w:firstLine="420"/>
        <w:rPr>
          <w:rFonts w:ascii="宋体" w:hAnsi="宋体"/>
        </w:rPr>
      </w:pPr>
      <w:r>
        <w:rPr>
          <w:rFonts w:ascii="宋体" w:hAnsi="宋体"/>
        </w:rPr>
        <w:t>4.10.1品牌电脑，≥50</w:t>
      </w:r>
      <w:r>
        <w:rPr>
          <w:rFonts w:ascii="宋体" w:eastAsia="Arial" w:hAnsi="Arial"/>
        </w:rPr>
        <w:t>0G</w:t>
      </w:r>
      <w:r>
        <w:rPr>
          <w:rFonts w:ascii="宋体" w:eastAsia="Arial" w:hAnsi="Arial"/>
        </w:rPr>
        <w:t>硬盘，</w:t>
      </w:r>
      <w:r>
        <w:rPr>
          <w:rFonts w:ascii="宋体" w:hAnsi="宋体"/>
        </w:rPr>
        <w:t>≥</w:t>
      </w:r>
      <w:r>
        <w:rPr>
          <w:rFonts w:ascii="宋体" w:eastAsia="Arial" w:hAnsi="Arial"/>
        </w:rPr>
        <w:t>2G</w:t>
      </w:r>
      <w:r>
        <w:rPr>
          <w:rFonts w:ascii="宋体" w:eastAsia="Arial" w:hAnsi="Arial"/>
        </w:rPr>
        <w:t>内存，正版</w:t>
      </w:r>
      <w:r>
        <w:rPr>
          <w:rFonts w:ascii="宋体" w:eastAsia="Arial" w:hAnsi="Arial"/>
        </w:rPr>
        <w:t>windo</w:t>
      </w:r>
      <w:r>
        <w:rPr>
          <w:rFonts w:ascii="宋体" w:hAnsi="宋体"/>
        </w:rPr>
        <w:t>ws</w:t>
      </w:r>
      <w:r>
        <w:rPr>
          <w:rFonts w:ascii="宋体" w:eastAsia="Arial" w:hAnsi="Arial"/>
        </w:rPr>
        <w:t>软件，</w:t>
      </w:r>
      <w:r>
        <w:rPr>
          <w:rFonts w:ascii="宋体" w:hAnsi="宋体"/>
        </w:rPr>
        <w:t>≥</w:t>
      </w:r>
      <w:r>
        <w:rPr>
          <w:rFonts w:ascii="宋体" w:eastAsia="Arial" w:hAnsi="Arial"/>
        </w:rPr>
        <w:t>19</w:t>
      </w:r>
      <w:r>
        <w:rPr>
          <w:rFonts w:ascii="宋体" w:eastAsia="Arial" w:hAnsi="Arial"/>
        </w:rPr>
        <w:t>寸液晶显示屏</w:t>
      </w:r>
    </w:p>
    <w:p w:rsidR="00D51E2E" w:rsidRDefault="00040B15">
      <w:pPr>
        <w:tabs>
          <w:tab w:val="left" w:pos="0"/>
        </w:tabs>
        <w:ind w:firstLine="420"/>
        <w:rPr>
          <w:rFonts w:ascii="宋体" w:hAnsi="宋体"/>
        </w:rPr>
      </w:pPr>
      <w:r>
        <w:rPr>
          <w:rFonts w:ascii="宋体" w:hAnsi="宋体"/>
        </w:rPr>
        <w:t>4.10.2品牌激光打印机。</w:t>
      </w:r>
    </w:p>
    <w:p w:rsidR="00D51E2E" w:rsidRDefault="00040B15">
      <w:pPr>
        <w:tabs>
          <w:tab w:val="left" w:pos="0"/>
        </w:tabs>
        <w:rPr>
          <w:rFonts w:ascii="宋体" w:hAnsi="宋体"/>
        </w:rPr>
      </w:pPr>
      <w:r>
        <w:rPr>
          <w:rFonts w:ascii="宋体" w:hAnsi="宋体"/>
        </w:rPr>
        <w:t>五、仪器配置及要求：</w:t>
      </w:r>
    </w:p>
    <w:p w:rsidR="00D51E2E" w:rsidRDefault="00040B15">
      <w:pPr>
        <w:tabs>
          <w:tab w:val="left" w:pos="0"/>
        </w:tabs>
        <w:ind w:firstLine="420"/>
        <w:rPr>
          <w:rFonts w:ascii="宋体" w:hAnsi="宋体"/>
        </w:rPr>
      </w:pPr>
      <w:r>
        <w:rPr>
          <w:rFonts w:ascii="宋体" w:hAnsi="宋体"/>
        </w:rPr>
        <w:t>5.1自动进样器1套</w:t>
      </w:r>
    </w:p>
    <w:p w:rsidR="00D51E2E" w:rsidRDefault="00040B15">
      <w:pPr>
        <w:tabs>
          <w:tab w:val="left" w:pos="0"/>
        </w:tabs>
        <w:spacing w:line="360" w:lineRule="exact"/>
        <w:ind w:firstLine="420"/>
        <w:rPr>
          <w:rFonts w:ascii="宋体" w:hAnsi="宋体"/>
        </w:rPr>
      </w:pPr>
      <w:r>
        <w:rPr>
          <w:rFonts w:ascii="宋体" w:hAnsi="宋体"/>
        </w:rPr>
        <w:t>5.2 高精度蠕动泵1台</w:t>
      </w:r>
    </w:p>
    <w:p w:rsidR="00D51E2E" w:rsidRDefault="00040B15">
      <w:pPr>
        <w:tabs>
          <w:tab w:val="left" w:pos="0"/>
        </w:tabs>
        <w:ind w:firstLine="420"/>
        <w:rPr>
          <w:rFonts w:ascii="宋体" w:hAnsi="宋体"/>
        </w:rPr>
      </w:pPr>
      <w:r>
        <w:rPr>
          <w:rFonts w:ascii="宋体" w:hAnsi="宋体"/>
        </w:rPr>
        <w:t>5.3 挥发酚、硫化物分析模块1套</w:t>
      </w:r>
    </w:p>
    <w:p w:rsidR="00D51E2E" w:rsidRDefault="00040B15">
      <w:pPr>
        <w:tabs>
          <w:tab w:val="left" w:pos="0"/>
        </w:tabs>
        <w:ind w:firstLine="420"/>
        <w:rPr>
          <w:rFonts w:ascii="宋体" w:eastAsia="Arial" w:hAnsi="Arial"/>
        </w:rPr>
      </w:pPr>
      <w:r>
        <w:rPr>
          <w:rFonts w:ascii="宋体" w:hAnsi="宋体"/>
        </w:rPr>
        <w:t>5.4氰化物分析模块1套</w:t>
      </w:r>
    </w:p>
    <w:p w:rsidR="00D51E2E" w:rsidRDefault="00040B15">
      <w:pPr>
        <w:tabs>
          <w:tab w:val="left" w:pos="0"/>
        </w:tabs>
        <w:ind w:firstLine="420"/>
        <w:rPr>
          <w:rFonts w:ascii="宋体" w:hAnsi="宋体"/>
        </w:rPr>
      </w:pPr>
      <w:r>
        <w:rPr>
          <w:rFonts w:ascii="宋体" w:hAnsi="宋体"/>
        </w:rPr>
        <w:t>5.5总氮分析模块1套</w:t>
      </w:r>
    </w:p>
    <w:p w:rsidR="00D51E2E" w:rsidRDefault="00040B15">
      <w:pPr>
        <w:tabs>
          <w:tab w:val="left" w:pos="0"/>
        </w:tabs>
        <w:ind w:firstLine="420"/>
        <w:rPr>
          <w:rFonts w:ascii="宋体" w:hAnsi="宋体"/>
        </w:rPr>
      </w:pPr>
      <w:r>
        <w:rPr>
          <w:rFonts w:ascii="宋体" w:hAnsi="宋体"/>
        </w:rPr>
        <w:t>5.6双通道在线蒸馏器1台</w:t>
      </w:r>
    </w:p>
    <w:p w:rsidR="00D51E2E" w:rsidRDefault="00040B15">
      <w:pPr>
        <w:tabs>
          <w:tab w:val="left" w:pos="0"/>
        </w:tabs>
        <w:ind w:firstLine="420"/>
        <w:rPr>
          <w:rFonts w:ascii="宋体" w:hAnsi="宋体"/>
        </w:rPr>
      </w:pPr>
      <w:r>
        <w:rPr>
          <w:rFonts w:ascii="宋体" w:hAnsi="宋体"/>
        </w:rPr>
        <w:t>5.7冷却水循环装置1套</w:t>
      </w:r>
    </w:p>
    <w:p w:rsidR="00D51E2E" w:rsidRDefault="00040B15">
      <w:pPr>
        <w:tabs>
          <w:tab w:val="left" w:pos="0"/>
        </w:tabs>
        <w:spacing w:line="360" w:lineRule="exact"/>
        <w:ind w:firstLine="420"/>
        <w:rPr>
          <w:rFonts w:ascii="Arial" w:hAnsi="宋体"/>
        </w:rPr>
      </w:pPr>
      <w:r>
        <w:rPr>
          <w:rFonts w:ascii="宋体" w:hAnsi="宋体"/>
        </w:rPr>
        <w:t>5.8独立的</w:t>
      </w:r>
      <w:r>
        <w:rPr>
          <w:rFonts w:ascii="Arial" w:hAnsi="宋体"/>
        </w:rPr>
        <w:t>双光束数字式比色计</w:t>
      </w:r>
      <w:r>
        <w:rPr>
          <w:rFonts w:ascii="Arial" w:hAnsi="宋体"/>
        </w:rPr>
        <w:t>3</w:t>
      </w:r>
      <w:r>
        <w:rPr>
          <w:rFonts w:ascii="Arial" w:hAnsi="宋体"/>
        </w:rPr>
        <w:t>个</w:t>
      </w:r>
    </w:p>
    <w:p w:rsidR="00D51E2E" w:rsidRDefault="00040B15">
      <w:pPr>
        <w:tabs>
          <w:tab w:val="left" w:pos="0"/>
        </w:tabs>
        <w:ind w:firstLine="420"/>
        <w:rPr>
          <w:rFonts w:ascii="宋体" w:eastAsia="Arial" w:hAnsi="Arial"/>
        </w:rPr>
      </w:pPr>
      <w:r>
        <w:rPr>
          <w:rFonts w:ascii="宋体" w:hAnsi="宋体"/>
        </w:rPr>
        <w:t>5.9系统操控软件 1套</w:t>
      </w:r>
    </w:p>
    <w:p w:rsidR="00D51E2E" w:rsidRDefault="00040B15">
      <w:pPr>
        <w:tabs>
          <w:tab w:val="left" w:pos="0"/>
        </w:tabs>
        <w:ind w:firstLine="420"/>
        <w:rPr>
          <w:rFonts w:ascii="宋体" w:eastAsia="Arial" w:hAnsi="Arial"/>
        </w:rPr>
      </w:pPr>
      <w:r>
        <w:rPr>
          <w:rFonts w:ascii="宋体" w:hAnsi="宋体"/>
        </w:rPr>
        <w:t>5.10两年期备品备件1套</w:t>
      </w:r>
    </w:p>
    <w:p w:rsidR="00D51E2E" w:rsidRDefault="00040B15">
      <w:pPr>
        <w:tabs>
          <w:tab w:val="left" w:pos="0"/>
        </w:tabs>
        <w:ind w:firstLine="420"/>
        <w:rPr>
          <w:rFonts w:ascii="宋体" w:hAnsi="宋体"/>
        </w:rPr>
      </w:pPr>
      <w:r>
        <w:rPr>
          <w:rFonts w:ascii="宋体" w:hAnsi="宋体"/>
        </w:rPr>
        <w:t>5.11 超声清洗器 1台</w:t>
      </w:r>
    </w:p>
    <w:p w:rsidR="00D51E2E" w:rsidRDefault="00040B15">
      <w:pPr>
        <w:tabs>
          <w:tab w:val="left" w:pos="0"/>
        </w:tabs>
        <w:ind w:firstLine="420"/>
        <w:rPr>
          <w:rFonts w:ascii="宋体" w:eastAsia="Arial" w:hAnsi="Arial"/>
        </w:rPr>
      </w:pPr>
      <w:r>
        <w:rPr>
          <w:rFonts w:ascii="宋体" w:hAnsi="宋体"/>
        </w:rPr>
        <w:t>5.12计算机和打印机各1台</w:t>
      </w:r>
    </w:p>
    <w:p w:rsidR="00D51E2E" w:rsidRDefault="00D51E2E">
      <w:pPr>
        <w:tabs>
          <w:tab w:val="left" w:pos="0"/>
        </w:tabs>
        <w:ind w:firstLine="420"/>
        <w:rPr>
          <w:rFonts w:ascii="宋体" w:hAnsi="宋体"/>
        </w:rPr>
      </w:pPr>
    </w:p>
    <w:p w:rsidR="00D51E2E" w:rsidRDefault="00040B15">
      <w:pPr>
        <w:pStyle w:val="af0"/>
        <w:snapToGrid w:val="0"/>
        <w:ind w:firstLine="0"/>
        <w:rPr>
          <w:rFonts w:ascii="宋体" w:eastAsia="宋体" w:hAnsi="宋体"/>
          <w:b/>
          <w:sz w:val="21"/>
          <w:szCs w:val="21"/>
        </w:rPr>
      </w:pPr>
      <w:r>
        <w:rPr>
          <w:rFonts w:ascii="宋体" w:eastAsia="宋体" w:hAnsi="宋体"/>
          <w:b/>
          <w:sz w:val="21"/>
          <w:szCs w:val="21"/>
        </w:rPr>
        <w:t>六、售后服务要求：</w:t>
      </w:r>
    </w:p>
    <w:p w:rsidR="00D51E2E" w:rsidRDefault="00040B15">
      <w:pPr>
        <w:rPr>
          <w:rFonts w:ascii="宋体" w:hAnsi="宋体"/>
        </w:rPr>
      </w:pPr>
      <w:r>
        <w:rPr>
          <w:rFonts w:ascii="宋体" w:hAnsi="宋体"/>
        </w:rPr>
        <w:t>6.1.合同签订后，卖方将仪器的实验室预安装条件发给用户，对所需的实验室环境条件，结合用户的实际情况进行指导并提出建议。接到用户安装要求后，立即安排技术服务工程师和用户一起开箱验货，核实与合同的内容及数量后，现场进行免费安装、调试检验。</w:t>
      </w:r>
    </w:p>
    <w:p w:rsidR="00D51E2E" w:rsidRDefault="00040B15">
      <w:pPr>
        <w:rPr>
          <w:rFonts w:ascii="宋体" w:hAnsi="宋体"/>
        </w:rPr>
      </w:pPr>
      <w:r>
        <w:rPr>
          <w:rFonts w:ascii="宋体" w:hAnsi="宋体"/>
        </w:rPr>
        <w:lastRenderedPageBreak/>
        <w:t>6.2.调试检验验收要求：仪器和配件是否齐全，外观是否完好，仪器各部分功能是否能正常使用，所提供仪器及零配件规格是否与买方要求相符。</w:t>
      </w:r>
    </w:p>
    <w:p w:rsidR="00D51E2E" w:rsidRDefault="00040B15">
      <w:pPr>
        <w:rPr>
          <w:rFonts w:ascii="宋体" w:hAnsi="宋体"/>
        </w:rPr>
      </w:pPr>
      <w:r>
        <w:rPr>
          <w:rFonts w:ascii="宋体" w:hAnsi="宋体"/>
        </w:rPr>
        <w:t>6.3.最终验收要求：对各项目进行标准样测试，结果在真值范围内；对各项目进行检出限测试，结果不得高于投标文件要求；测定各项目标准曲线，线性相关系数必须≥0.999；测定各项目回收率，回收率须满足90%～110%</w:t>
      </w:r>
    </w:p>
    <w:p w:rsidR="00D51E2E" w:rsidRDefault="00040B15">
      <w:pPr>
        <w:rPr>
          <w:rFonts w:ascii="宋体" w:hAnsi="宋体"/>
        </w:rPr>
      </w:pPr>
      <w:r>
        <w:rPr>
          <w:rFonts w:ascii="宋体" w:hAnsi="宋体"/>
        </w:rPr>
        <w:t>6.4.提供1年的免费整机保修服务，保修期从最后一个项目调试成功并经使用方验收合格之日起计算，保修内容包括整机及所有相关用品。。</w:t>
      </w:r>
    </w:p>
    <w:p w:rsidR="00D51E2E" w:rsidRDefault="00040B15">
      <w:pPr>
        <w:rPr>
          <w:rFonts w:ascii="宋体" w:hAnsi="宋体"/>
        </w:rPr>
      </w:pPr>
      <w:r>
        <w:rPr>
          <w:rFonts w:ascii="宋体" w:hAnsi="宋体"/>
        </w:rPr>
        <w:t>6.6.保修期满后，供方需长期保证提供优惠价格的各种零配件（不高于中标时零配件的投标价格），维修人工费用收费合理，终身维修。</w:t>
      </w:r>
    </w:p>
    <w:p w:rsidR="00D51E2E" w:rsidRDefault="00040B15">
      <w:pPr>
        <w:rPr>
          <w:rFonts w:ascii="宋体" w:hAnsi="宋体"/>
        </w:rPr>
      </w:pPr>
      <w:r>
        <w:rPr>
          <w:rFonts w:ascii="宋体" w:hAnsi="宋体"/>
        </w:rPr>
        <w:t>6.7.技术培训：仪器安装调试、验收结束后，由供方专业技术工程师在用户仪器现场，对用户人员提供仪器的基本原理、结构、基本操作及维护知识免费培训，并指导用户进行样品分析检测，直到用户方使用人员可独立进行操作为止；仪器正常运转12个月内，针对用户对仪器已经基本熟悉，提供2名操作人员在中国技术中心不少于一周的免费培训，内容包括：专业技术知识及实验方法的应用与开发、专业的故障排除和仪器的拆装。定期召开用户培训会议。</w:t>
      </w:r>
    </w:p>
    <w:p w:rsidR="00D51E2E" w:rsidRDefault="00040B15">
      <w:pPr>
        <w:tabs>
          <w:tab w:val="left" w:pos="828"/>
        </w:tabs>
        <w:ind w:right="-30"/>
        <w:jc w:val="left"/>
        <w:rPr>
          <w:rFonts w:ascii="宋体" w:hAnsi="宋体"/>
        </w:rPr>
      </w:pPr>
      <w:r>
        <w:rPr>
          <w:rFonts w:ascii="宋体" w:hAnsi="宋体"/>
        </w:rPr>
        <w:t>*6.8  所投标品牌在安徽省内至少有5家以上的使用单位，并提供及其详细联系方式以备确认。</w:t>
      </w:r>
    </w:p>
    <w:p w:rsidR="00D51E2E" w:rsidRDefault="00040B15">
      <w:pPr>
        <w:tabs>
          <w:tab w:val="left" w:pos="828"/>
        </w:tabs>
        <w:ind w:right="-30"/>
        <w:jc w:val="left"/>
        <w:rPr>
          <w:rFonts w:ascii="宋体" w:hAnsi="宋体"/>
        </w:rPr>
      </w:pPr>
      <w:r>
        <w:rPr>
          <w:rFonts w:ascii="宋体" w:hAnsi="宋体"/>
        </w:rPr>
        <w:t>*6.9  所投产品在安徽地区必需有厂家售后服务支持机构，并提供售后服务机构证明文件，确保在24小时内维修响应，48小时内到用户现场解决。</w:t>
      </w:r>
    </w:p>
    <w:p w:rsidR="00D51E2E" w:rsidRDefault="00040B15">
      <w:pPr>
        <w:tabs>
          <w:tab w:val="left" w:pos="828"/>
        </w:tabs>
        <w:ind w:left="-252" w:right="-30" w:firstLine="210"/>
        <w:jc w:val="left"/>
        <w:rPr>
          <w:rFonts w:ascii="宋体" w:hAnsi="宋体"/>
        </w:rPr>
      </w:pPr>
      <w:r>
        <w:rPr>
          <w:rFonts w:ascii="宋体" w:hAnsi="宋体"/>
        </w:rPr>
        <w:t>6.10  带*号者为决定仪器性能的关键指标，优于指标加分，达不到指标扣分。</w:t>
      </w:r>
    </w:p>
    <w:p w:rsidR="00D51E2E" w:rsidRDefault="00D51E2E">
      <w:pPr>
        <w:rPr>
          <w:rFonts w:ascii="宋体" w:hAnsi="宋体"/>
          <w:sz w:val="24"/>
          <w:szCs w:val="24"/>
        </w:rPr>
      </w:pPr>
    </w:p>
    <w:p w:rsidR="00D51E2E" w:rsidRDefault="00D51E2E">
      <w:pPr>
        <w:rPr>
          <w:rFonts w:hAnsi="宋体"/>
        </w:rPr>
      </w:pPr>
    </w:p>
    <w:sectPr w:rsidR="00D51E2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3426" w:rsidRDefault="00373426" w:rsidP="00BF7870">
      <w:r>
        <w:separator/>
      </w:r>
    </w:p>
  </w:endnote>
  <w:endnote w:type="continuationSeparator" w:id="0">
    <w:p w:rsidR="00373426" w:rsidRDefault="00373426" w:rsidP="00BF7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3426" w:rsidRDefault="00373426" w:rsidP="00BF7870">
      <w:r>
        <w:separator/>
      </w:r>
    </w:p>
  </w:footnote>
  <w:footnote w:type="continuationSeparator" w:id="0">
    <w:p w:rsidR="00373426" w:rsidRDefault="00373426" w:rsidP="00BF78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2"/>
  </w:compat>
  <w:rsids>
    <w:rsidRoot w:val="00D51E2E"/>
    <w:rsid w:val="00040B15"/>
    <w:rsid w:val="00373426"/>
    <w:rsid w:val="00BF7870"/>
    <w:rsid w:val="00D51E2E"/>
    <w:rsid w:val="00EA5F91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CDC5E93-BEB1-48AF-9D78-DD997B87B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jc w:val="both"/>
    </w:pPr>
    <w:rPr>
      <w:sz w:val="21"/>
      <w:szCs w:val="21"/>
    </w:rPr>
  </w:style>
  <w:style w:type="paragraph" w:styleId="1">
    <w:name w:val="heading 1"/>
    <w:uiPriority w:val="7"/>
    <w:qFormat/>
    <w:pPr>
      <w:jc w:val="both"/>
      <w:outlineLvl w:val="0"/>
    </w:pPr>
    <w:rPr>
      <w:sz w:val="28"/>
      <w:szCs w:val="28"/>
    </w:rPr>
  </w:style>
  <w:style w:type="paragraph" w:styleId="2">
    <w:name w:val="heading 2"/>
    <w:uiPriority w:val="8"/>
    <w:qFormat/>
    <w:pPr>
      <w:jc w:val="both"/>
      <w:outlineLvl w:val="1"/>
    </w:pPr>
    <w:rPr>
      <w:sz w:val="21"/>
      <w:szCs w:val="21"/>
    </w:rPr>
  </w:style>
  <w:style w:type="paragraph" w:styleId="3">
    <w:name w:val="heading 3"/>
    <w:uiPriority w:val="9"/>
    <w:qFormat/>
    <w:pPr>
      <w:ind w:left="1000" w:hanging="400"/>
      <w:jc w:val="both"/>
      <w:outlineLvl w:val="2"/>
    </w:pPr>
    <w:rPr>
      <w:sz w:val="21"/>
      <w:szCs w:val="21"/>
    </w:rPr>
  </w:style>
  <w:style w:type="paragraph" w:styleId="4">
    <w:name w:val="heading 4"/>
    <w:uiPriority w:val="10"/>
    <w:qFormat/>
    <w:pPr>
      <w:ind w:left="1200" w:hanging="400"/>
      <w:jc w:val="both"/>
      <w:outlineLvl w:val="3"/>
    </w:pPr>
    <w:rPr>
      <w:b/>
      <w:sz w:val="21"/>
      <w:szCs w:val="21"/>
    </w:rPr>
  </w:style>
  <w:style w:type="paragraph" w:styleId="5">
    <w:name w:val="heading 5"/>
    <w:uiPriority w:val="11"/>
    <w:qFormat/>
    <w:pPr>
      <w:ind w:left="1400" w:hanging="400"/>
      <w:jc w:val="both"/>
      <w:outlineLvl w:val="4"/>
    </w:pPr>
    <w:rPr>
      <w:sz w:val="21"/>
      <w:szCs w:val="21"/>
    </w:rPr>
  </w:style>
  <w:style w:type="paragraph" w:styleId="6">
    <w:name w:val="heading 6"/>
    <w:uiPriority w:val="12"/>
    <w:qFormat/>
    <w:pPr>
      <w:ind w:left="1600" w:hanging="400"/>
      <w:jc w:val="both"/>
      <w:outlineLvl w:val="5"/>
    </w:pPr>
    <w:rPr>
      <w:b/>
      <w:sz w:val="21"/>
      <w:szCs w:val="21"/>
    </w:rPr>
  </w:style>
  <w:style w:type="paragraph" w:styleId="7">
    <w:name w:val="heading 7"/>
    <w:uiPriority w:val="13"/>
    <w:qFormat/>
    <w:pPr>
      <w:ind w:left="1800" w:hanging="400"/>
      <w:jc w:val="both"/>
      <w:outlineLvl w:val="6"/>
    </w:pPr>
    <w:rPr>
      <w:sz w:val="21"/>
      <w:szCs w:val="21"/>
    </w:rPr>
  </w:style>
  <w:style w:type="paragraph" w:styleId="8">
    <w:name w:val="heading 8"/>
    <w:uiPriority w:val="14"/>
    <w:qFormat/>
    <w:pPr>
      <w:ind w:left="2000" w:hanging="400"/>
      <w:jc w:val="both"/>
      <w:outlineLvl w:val="7"/>
    </w:pPr>
    <w:rPr>
      <w:sz w:val="21"/>
      <w:szCs w:val="21"/>
    </w:rPr>
  </w:style>
  <w:style w:type="paragraph" w:styleId="9">
    <w:name w:val="heading 9"/>
    <w:uiPriority w:val="15"/>
    <w:qFormat/>
    <w:pPr>
      <w:ind w:left="2200" w:hanging="400"/>
      <w:jc w:val="both"/>
      <w:outlineLvl w:val="8"/>
    </w:pPr>
    <w:rPr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5"/>
    <w:qFormat/>
    <w:pPr>
      <w:jc w:val="both"/>
    </w:pPr>
    <w:rPr>
      <w:sz w:val="21"/>
      <w:szCs w:val="21"/>
    </w:rPr>
  </w:style>
  <w:style w:type="paragraph" w:styleId="a4">
    <w:name w:val="Title"/>
    <w:uiPriority w:val="6"/>
    <w:qFormat/>
    <w:pPr>
      <w:jc w:val="center"/>
    </w:pPr>
    <w:rPr>
      <w:b/>
      <w:sz w:val="32"/>
      <w:szCs w:val="32"/>
    </w:rPr>
  </w:style>
  <w:style w:type="paragraph" w:styleId="a5">
    <w:name w:val="Subtitle"/>
    <w:uiPriority w:val="16"/>
    <w:qFormat/>
    <w:pPr>
      <w:jc w:val="center"/>
    </w:pPr>
    <w:rPr>
      <w:sz w:val="24"/>
      <w:szCs w:val="24"/>
    </w:rPr>
  </w:style>
  <w:style w:type="character" w:styleId="a6">
    <w:name w:val="Subtle Emphasis"/>
    <w:uiPriority w:val="17"/>
    <w:qFormat/>
    <w:rPr>
      <w:i/>
      <w:color w:val="404040"/>
      <w:w w:val="100"/>
      <w:sz w:val="21"/>
      <w:szCs w:val="21"/>
      <w:shd w:val="clear" w:color="auto" w:fill="auto"/>
    </w:rPr>
  </w:style>
  <w:style w:type="character" w:styleId="a7">
    <w:name w:val="Emphasis"/>
    <w:uiPriority w:val="18"/>
    <w:qFormat/>
    <w:rPr>
      <w:i/>
      <w:w w:val="100"/>
      <w:sz w:val="21"/>
      <w:szCs w:val="21"/>
      <w:shd w:val="clear" w:color="auto" w:fill="auto"/>
    </w:rPr>
  </w:style>
  <w:style w:type="character" w:styleId="a8">
    <w:name w:val="Intense Emphasis"/>
    <w:uiPriority w:val="19"/>
    <w:qFormat/>
    <w:rPr>
      <w:i/>
      <w:color w:val="5B9BD5"/>
      <w:w w:val="100"/>
      <w:sz w:val="21"/>
      <w:szCs w:val="21"/>
      <w:shd w:val="clear" w:color="auto" w:fill="auto"/>
    </w:rPr>
  </w:style>
  <w:style w:type="character" w:styleId="a9">
    <w:name w:val="Strong"/>
    <w:uiPriority w:val="20"/>
    <w:qFormat/>
    <w:rPr>
      <w:b/>
      <w:w w:val="100"/>
      <w:sz w:val="21"/>
      <w:szCs w:val="21"/>
      <w:shd w:val="clear" w:color="auto" w:fill="auto"/>
    </w:rPr>
  </w:style>
  <w:style w:type="paragraph" w:styleId="aa">
    <w:name w:val="Quote"/>
    <w:uiPriority w:val="21"/>
    <w:qFormat/>
    <w:pPr>
      <w:ind w:left="864" w:right="864"/>
      <w:jc w:val="center"/>
    </w:pPr>
    <w:rPr>
      <w:i/>
      <w:color w:val="404040"/>
      <w:sz w:val="21"/>
      <w:szCs w:val="21"/>
    </w:rPr>
  </w:style>
  <w:style w:type="paragraph" w:styleId="ab">
    <w:name w:val="Intense Quote"/>
    <w:uiPriority w:val="22"/>
    <w:qFormat/>
    <w:pPr>
      <w:ind w:left="950" w:right="950"/>
      <w:jc w:val="center"/>
    </w:pPr>
    <w:rPr>
      <w:i/>
      <w:color w:val="5B9BD5"/>
      <w:sz w:val="21"/>
      <w:szCs w:val="21"/>
    </w:rPr>
  </w:style>
  <w:style w:type="character" w:styleId="ac">
    <w:name w:val="Subtle Reference"/>
    <w:uiPriority w:val="23"/>
    <w:qFormat/>
    <w:rPr>
      <w:smallCaps/>
      <w:color w:val="5A5A5A"/>
      <w:w w:val="100"/>
      <w:sz w:val="21"/>
      <w:szCs w:val="21"/>
      <w:shd w:val="clear" w:color="auto" w:fill="auto"/>
    </w:rPr>
  </w:style>
  <w:style w:type="character" w:styleId="ad">
    <w:name w:val="Intense Reference"/>
    <w:uiPriority w:val="24"/>
    <w:qFormat/>
    <w:rPr>
      <w:b/>
      <w:smallCaps/>
      <w:color w:val="5B9BD5"/>
      <w:w w:val="100"/>
      <w:sz w:val="21"/>
      <w:szCs w:val="21"/>
      <w:shd w:val="clear" w:color="auto" w:fill="auto"/>
    </w:rPr>
  </w:style>
  <w:style w:type="character" w:styleId="ae">
    <w:name w:val="Book Title"/>
    <w:uiPriority w:val="25"/>
    <w:qFormat/>
    <w:rPr>
      <w:b/>
      <w:i/>
      <w:w w:val="100"/>
      <w:sz w:val="21"/>
      <w:szCs w:val="21"/>
      <w:shd w:val="clear" w:color="auto" w:fill="auto"/>
    </w:rPr>
  </w:style>
  <w:style w:type="paragraph" w:styleId="af">
    <w:name w:val="List Paragraph"/>
    <w:uiPriority w:val="26"/>
    <w:qFormat/>
    <w:pPr>
      <w:ind w:left="850"/>
      <w:jc w:val="both"/>
    </w:pPr>
    <w:rPr>
      <w:sz w:val="21"/>
      <w:szCs w:val="21"/>
    </w:rPr>
  </w:style>
  <w:style w:type="paragraph" w:styleId="TOC">
    <w:name w:val="TOC Heading"/>
    <w:uiPriority w:val="27"/>
    <w:unhideWhenUsed/>
    <w:qFormat/>
    <w:rPr>
      <w:color w:val="2E74B5"/>
      <w:sz w:val="32"/>
      <w:szCs w:val="32"/>
    </w:rPr>
  </w:style>
  <w:style w:type="paragraph" w:styleId="10">
    <w:name w:val="toc 1"/>
    <w:uiPriority w:val="28"/>
    <w:unhideWhenUsed/>
    <w:qFormat/>
    <w:pPr>
      <w:jc w:val="both"/>
    </w:pPr>
    <w:rPr>
      <w:sz w:val="21"/>
      <w:szCs w:val="21"/>
    </w:rPr>
  </w:style>
  <w:style w:type="paragraph" w:styleId="20">
    <w:name w:val="toc 2"/>
    <w:uiPriority w:val="29"/>
    <w:unhideWhenUsed/>
    <w:qFormat/>
    <w:pPr>
      <w:ind w:left="425"/>
      <w:jc w:val="both"/>
    </w:pPr>
    <w:rPr>
      <w:sz w:val="21"/>
      <w:szCs w:val="21"/>
    </w:rPr>
  </w:style>
  <w:style w:type="paragraph" w:styleId="30">
    <w:name w:val="toc 3"/>
    <w:uiPriority w:val="30"/>
    <w:unhideWhenUsed/>
    <w:qFormat/>
    <w:pPr>
      <w:ind w:left="850"/>
      <w:jc w:val="both"/>
    </w:pPr>
    <w:rPr>
      <w:sz w:val="21"/>
      <w:szCs w:val="21"/>
    </w:rPr>
  </w:style>
  <w:style w:type="paragraph" w:styleId="40">
    <w:name w:val="toc 4"/>
    <w:uiPriority w:val="31"/>
    <w:unhideWhenUsed/>
    <w:qFormat/>
    <w:pPr>
      <w:ind w:left="1275"/>
      <w:jc w:val="both"/>
    </w:pPr>
    <w:rPr>
      <w:sz w:val="21"/>
      <w:szCs w:val="21"/>
    </w:rPr>
  </w:style>
  <w:style w:type="paragraph" w:styleId="50">
    <w:name w:val="toc 5"/>
    <w:uiPriority w:val="32"/>
    <w:unhideWhenUsed/>
    <w:qFormat/>
    <w:pPr>
      <w:ind w:left="1700"/>
      <w:jc w:val="both"/>
    </w:pPr>
    <w:rPr>
      <w:sz w:val="21"/>
      <w:szCs w:val="21"/>
    </w:rPr>
  </w:style>
  <w:style w:type="paragraph" w:styleId="60">
    <w:name w:val="toc 6"/>
    <w:uiPriority w:val="33"/>
    <w:unhideWhenUsed/>
    <w:qFormat/>
    <w:pPr>
      <w:ind w:left="2125"/>
      <w:jc w:val="both"/>
    </w:pPr>
    <w:rPr>
      <w:sz w:val="21"/>
      <w:szCs w:val="21"/>
    </w:rPr>
  </w:style>
  <w:style w:type="paragraph" w:styleId="70">
    <w:name w:val="toc 7"/>
    <w:uiPriority w:val="34"/>
    <w:unhideWhenUsed/>
    <w:qFormat/>
    <w:pPr>
      <w:ind w:left="2550"/>
      <w:jc w:val="both"/>
    </w:pPr>
    <w:rPr>
      <w:sz w:val="21"/>
      <w:szCs w:val="21"/>
    </w:rPr>
  </w:style>
  <w:style w:type="paragraph" w:styleId="80">
    <w:name w:val="toc 8"/>
    <w:uiPriority w:val="35"/>
    <w:unhideWhenUsed/>
    <w:qFormat/>
    <w:pPr>
      <w:ind w:left="2975"/>
      <w:jc w:val="both"/>
    </w:pPr>
    <w:rPr>
      <w:sz w:val="21"/>
      <w:szCs w:val="21"/>
    </w:rPr>
  </w:style>
  <w:style w:type="paragraph" w:styleId="90">
    <w:name w:val="toc 9"/>
    <w:uiPriority w:val="36"/>
    <w:unhideWhenUsed/>
    <w:qFormat/>
    <w:pPr>
      <w:ind w:left="3400"/>
      <w:jc w:val="both"/>
    </w:pPr>
    <w:rPr>
      <w:sz w:val="21"/>
      <w:szCs w:val="21"/>
    </w:rPr>
  </w:style>
  <w:style w:type="paragraph" w:styleId="af0">
    <w:name w:val="Normal Indent"/>
    <w:basedOn w:val="a"/>
    <w:pPr>
      <w:ind w:firstLine="420"/>
    </w:pPr>
    <w:rPr>
      <w:rFonts w:ascii="Times New Roman" w:eastAsia="Times New Roman" w:hAnsi="Times New Roman"/>
      <w:sz w:val="20"/>
      <w:szCs w:val="20"/>
    </w:rPr>
  </w:style>
  <w:style w:type="paragraph" w:styleId="af1">
    <w:name w:val="header"/>
    <w:basedOn w:val="a"/>
    <w:link w:val="Char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f1"/>
    <w:rPr>
      <w:w w:val="100"/>
      <w:sz w:val="18"/>
      <w:szCs w:val="18"/>
      <w:shd w:val="clear" w:color="auto" w:fill="auto"/>
    </w:rPr>
  </w:style>
  <w:style w:type="paragraph" w:styleId="af2">
    <w:name w:val="footer"/>
    <w:basedOn w:val="a"/>
    <w:link w:val="Char0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f2"/>
    <w:rPr>
      <w:w w:val="100"/>
      <w:sz w:val="18"/>
      <w:szCs w:val="18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392</Words>
  <Characters>2240</Characters>
  <Application>Microsoft Office Word</Application>
  <DocSecurity>0</DocSecurity>
  <Lines>18</Lines>
  <Paragraphs>5</Paragraphs>
  <MMClips>0</MMClip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Title text</vt:lpstr>
    </vt:vector>
  </TitlesOfParts>
  <Company/>
  <LinksUpToDate>false</LinksUpToDate>
  <CharactersWithSpaces>2627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13818912954</dc:creator>
  <cp:lastModifiedBy>费维娣</cp:lastModifiedBy>
  <cp:revision>6</cp:revision>
  <dcterms:created xsi:type="dcterms:W3CDTF">2017-11-17T07:10:00Z</dcterms:created>
  <dcterms:modified xsi:type="dcterms:W3CDTF">2017-11-17T07:25:00Z</dcterms:modified>
</cp:coreProperties>
</file>