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80" w:lineRule="auto"/>
        <w:jc w:val="center"/>
        <w:rPr>
          <w:rFonts w:ascii="微软雅黑" w:hAnsi="微软雅黑" w:eastAsia="微软雅黑"/>
          <w:b/>
          <w:bCs/>
          <w:color w:val="FF0000"/>
          <w:kern w:val="36"/>
          <w:sz w:val="30"/>
          <w:szCs w:val="30"/>
        </w:rPr>
      </w:pPr>
      <w:r>
        <w:rPr>
          <w:rFonts w:hint="eastAsia" w:ascii="微软雅黑" w:hAnsi="微软雅黑" w:eastAsia="微软雅黑"/>
          <w:b/>
          <w:bCs/>
          <w:color w:val="FF0000"/>
          <w:kern w:val="36"/>
          <w:sz w:val="30"/>
          <w:szCs w:val="30"/>
        </w:rPr>
        <w:t>安徽省地质实验研究所（国土资源部</w:t>
      </w:r>
    </w:p>
    <w:p>
      <w:pPr>
        <w:widowControl/>
        <w:spacing w:line="480" w:lineRule="auto"/>
        <w:jc w:val="center"/>
        <w:rPr>
          <w:rFonts w:ascii="Calibri" w:hAnsi="Calibri" w:eastAsia="宋体" w:cs="宋体"/>
          <w:color w:val="333333"/>
          <w:kern w:val="0"/>
          <w:sz w:val="28"/>
          <w:szCs w:val="28"/>
        </w:rPr>
      </w:pPr>
      <w:r>
        <w:rPr>
          <w:rFonts w:hint="eastAsia" w:ascii="微软雅黑" w:hAnsi="微软雅黑" w:eastAsia="微软雅黑"/>
          <w:b/>
          <w:bCs/>
          <w:color w:val="FF0000"/>
          <w:kern w:val="36"/>
          <w:sz w:val="30"/>
          <w:szCs w:val="30"/>
        </w:rPr>
        <w:t>合肥矿产资源监督检测中心）招标公告</w:t>
      </w:r>
    </w:p>
    <w:p>
      <w:pPr>
        <w:widowControl/>
        <w:spacing w:line="44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现对安徽省地质实验研究所（国土资源部合肥矿产资源监督检测中心）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桩基自平衡法检测用载荷箱及附属材料（位移丝、</w:t>
      </w:r>
      <w:r>
        <w:rPr>
          <w:rFonts w:ascii="Times New Roman" w:hAnsi="Times New Roman" w:cs="Times New Roman"/>
          <w:kern w:val="0"/>
          <w:sz w:val="24"/>
          <w:szCs w:val="24"/>
        </w:rPr>
        <w:t>5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0PVC预埋管及接头、高压油管、16及22mm自密封快速接头）采购进行对外招标</w:t>
      </w:r>
      <w:r>
        <w:rPr>
          <w:rFonts w:ascii="Times New Roman" w:hAnsi="Times New Roman" w:cs="Times New Roman"/>
          <w:kern w:val="0"/>
          <w:sz w:val="24"/>
          <w:szCs w:val="24"/>
        </w:rPr>
        <w:t>，欢迎具备条件的投标人参加投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标。</w:t>
      </w:r>
    </w:p>
    <w:p>
      <w:pPr>
        <w:widowControl/>
        <w:spacing w:line="44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1 采购项目内容及具体要求</w:t>
      </w:r>
    </w:p>
    <w:p>
      <w:pPr>
        <w:widowControl/>
        <w:spacing w:line="440" w:lineRule="exact"/>
        <w:ind w:firstLine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1.1采购项目细节</w:t>
      </w:r>
    </w:p>
    <w:p>
      <w:pPr>
        <w:widowControl/>
        <w:spacing w:line="440" w:lineRule="exact"/>
        <w:ind w:firstLine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我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单位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在全省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从事建设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项目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工程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检测，自平衡法检测所使用载荷箱及其附件采购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需要外协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（但并不是所有的类似项目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均需要外协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，是否需要将根据工程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项目的具体情况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确定）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，具体内容见下表：</w:t>
      </w:r>
    </w:p>
    <w:tbl>
      <w:tblPr>
        <w:tblStyle w:val="6"/>
        <w:tblW w:w="893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6"/>
        <w:gridCol w:w="4304"/>
        <w:gridCol w:w="2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206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材料</w:t>
            </w:r>
            <w:r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名称</w:t>
            </w:r>
          </w:p>
        </w:tc>
        <w:tc>
          <w:tcPr>
            <w:tcW w:w="430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规格</w:t>
            </w:r>
          </w:p>
        </w:tc>
        <w:tc>
          <w:tcPr>
            <w:tcW w:w="242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预计每年采购</w:t>
            </w:r>
            <w:r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6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载荷箱</w:t>
            </w:r>
          </w:p>
        </w:tc>
        <w:tc>
          <w:tcPr>
            <w:tcW w:w="430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100吨-60MPa</w:t>
            </w:r>
            <w:r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-160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mm</w:t>
            </w:r>
          </w:p>
        </w:tc>
        <w:tc>
          <w:tcPr>
            <w:tcW w:w="242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约</w:t>
            </w:r>
            <w:r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100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6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载荷箱</w:t>
            </w:r>
          </w:p>
        </w:tc>
        <w:tc>
          <w:tcPr>
            <w:tcW w:w="430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20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0吨-60MPa</w:t>
            </w:r>
            <w:r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-160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mm</w:t>
            </w:r>
          </w:p>
        </w:tc>
        <w:tc>
          <w:tcPr>
            <w:tcW w:w="242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约</w:t>
            </w:r>
            <w:r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100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6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载荷箱</w:t>
            </w:r>
          </w:p>
        </w:tc>
        <w:tc>
          <w:tcPr>
            <w:tcW w:w="430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30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0吨-60MPa</w:t>
            </w:r>
            <w:r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-160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mm</w:t>
            </w:r>
          </w:p>
        </w:tc>
        <w:tc>
          <w:tcPr>
            <w:tcW w:w="242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约</w:t>
            </w:r>
            <w:r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100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6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载荷箱</w:t>
            </w:r>
          </w:p>
        </w:tc>
        <w:tc>
          <w:tcPr>
            <w:tcW w:w="430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40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0吨-60MPa</w:t>
            </w:r>
            <w:r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-160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mm</w:t>
            </w:r>
          </w:p>
        </w:tc>
        <w:tc>
          <w:tcPr>
            <w:tcW w:w="242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约</w:t>
            </w:r>
            <w:r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100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6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高压油管</w:t>
            </w:r>
          </w:p>
        </w:tc>
        <w:tc>
          <w:tcPr>
            <w:tcW w:w="430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60MPa</w:t>
            </w:r>
          </w:p>
        </w:tc>
        <w:tc>
          <w:tcPr>
            <w:tcW w:w="242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约800</w:t>
            </w:r>
            <w:r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6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PVC预埋管</w:t>
            </w:r>
          </w:p>
        </w:tc>
        <w:tc>
          <w:tcPr>
            <w:tcW w:w="4304" w:type="dxa"/>
            <w:vAlign w:val="center"/>
          </w:tcPr>
          <w:p>
            <w:pPr>
              <w:widowControl/>
              <w:spacing w:line="320" w:lineRule="exact"/>
              <w:ind w:left="420" w:leftChars="200"/>
              <w:jc w:val="center"/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直径</w:t>
            </w:r>
            <w:r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5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0mm，</w:t>
            </w:r>
            <w:r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壁厚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3mm</w:t>
            </w:r>
          </w:p>
        </w:tc>
        <w:tc>
          <w:tcPr>
            <w:tcW w:w="242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约1 200</w:t>
            </w:r>
            <w:r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 xml:space="preserve"> 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6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5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0PVC预埋管接头</w:t>
            </w:r>
          </w:p>
        </w:tc>
        <w:tc>
          <w:tcPr>
            <w:tcW w:w="4304" w:type="dxa"/>
            <w:vAlign w:val="center"/>
          </w:tcPr>
          <w:p>
            <w:pPr>
              <w:widowControl/>
              <w:spacing w:line="320" w:lineRule="exact"/>
              <w:ind w:left="420" w:leftChars="200"/>
              <w:jc w:val="center"/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内径</w:t>
            </w:r>
            <w:r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5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0mm，</w:t>
            </w:r>
            <w:r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壁厚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3mm</w:t>
            </w:r>
          </w:p>
        </w:tc>
        <w:tc>
          <w:tcPr>
            <w:tcW w:w="242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约800只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6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位移丝</w:t>
            </w:r>
          </w:p>
        </w:tc>
        <w:tc>
          <w:tcPr>
            <w:tcW w:w="4304" w:type="dxa"/>
            <w:vAlign w:val="center"/>
          </w:tcPr>
          <w:p>
            <w:pPr>
              <w:widowControl/>
              <w:spacing w:line="320" w:lineRule="exact"/>
              <w:ind w:left="420" w:leftChars="200"/>
              <w:jc w:val="center"/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2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mm</w:t>
            </w:r>
          </w:p>
        </w:tc>
        <w:tc>
          <w:tcPr>
            <w:tcW w:w="242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约</w:t>
            </w:r>
            <w:r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60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6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自密封快速接头</w:t>
            </w:r>
          </w:p>
        </w:tc>
        <w:tc>
          <w:tcPr>
            <w:tcW w:w="4304" w:type="dxa"/>
            <w:vAlign w:val="center"/>
          </w:tcPr>
          <w:p>
            <w:pPr>
              <w:widowControl/>
              <w:spacing w:line="320" w:lineRule="exact"/>
              <w:ind w:left="420" w:leftChars="200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16 mm</w:t>
            </w:r>
          </w:p>
        </w:tc>
        <w:tc>
          <w:tcPr>
            <w:tcW w:w="242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约800对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6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自密封快速接头</w:t>
            </w:r>
          </w:p>
        </w:tc>
        <w:tc>
          <w:tcPr>
            <w:tcW w:w="4304" w:type="dxa"/>
            <w:vAlign w:val="center"/>
          </w:tcPr>
          <w:p>
            <w:pPr>
              <w:widowControl/>
              <w:spacing w:line="320" w:lineRule="exact"/>
              <w:ind w:left="420" w:leftChars="200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22mm</w:t>
            </w:r>
          </w:p>
        </w:tc>
        <w:tc>
          <w:tcPr>
            <w:tcW w:w="242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约800对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2206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服务</w:t>
            </w:r>
            <w:r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期限</w:t>
            </w:r>
          </w:p>
        </w:tc>
        <w:tc>
          <w:tcPr>
            <w:tcW w:w="6729" w:type="dxa"/>
            <w:gridSpan w:val="2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2020年1月1日</w:t>
            </w:r>
            <w:r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至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2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2年12月31日</w:t>
            </w:r>
          </w:p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（两年有效，根据</w:t>
            </w:r>
            <w:r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服务质量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可延期至第三年）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  <w:jc w:val="center"/>
        </w:trPr>
        <w:tc>
          <w:tcPr>
            <w:tcW w:w="2206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服务范围</w:t>
            </w:r>
          </w:p>
        </w:tc>
        <w:tc>
          <w:tcPr>
            <w:tcW w:w="6729" w:type="dxa"/>
            <w:gridSpan w:val="2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安徽省全省各地</w:t>
            </w:r>
          </w:p>
        </w:tc>
      </w:tr>
    </w:tbl>
    <w:p>
      <w:pPr>
        <w:widowControl/>
        <w:spacing w:line="50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1.2投标最高限价（拦标价）</w:t>
      </w:r>
    </w:p>
    <w:tbl>
      <w:tblPr>
        <w:tblStyle w:val="6"/>
        <w:tblW w:w="893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6"/>
        <w:gridCol w:w="4304"/>
        <w:gridCol w:w="2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2206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材料</w:t>
            </w:r>
            <w:r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名称</w:t>
            </w:r>
          </w:p>
        </w:tc>
        <w:tc>
          <w:tcPr>
            <w:tcW w:w="430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规格</w:t>
            </w:r>
          </w:p>
        </w:tc>
        <w:tc>
          <w:tcPr>
            <w:tcW w:w="242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投标最高限价（</w:t>
            </w:r>
            <w:r>
              <w:rPr>
                <w:rFonts w:hint="eastAsia" w:ascii="Times New Roman" w:hAnsi="Times New Roman"/>
                <w:color w:val="333333"/>
                <w:kern w:val="0"/>
                <w:sz w:val="24"/>
                <w:szCs w:val="24"/>
              </w:rPr>
              <w:t>单价）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6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载荷箱</w:t>
            </w:r>
          </w:p>
        </w:tc>
        <w:tc>
          <w:tcPr>
            <w:tcW w:w="430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100吨-60MPa</w:t>
            </w:r>
            <w:r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-160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mm</w:t>
            </w:r>
          </w:p>
        </w:tc>
        <w:tc>
          <w:tcPr>
            <w:tcW w:w="242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  <w:lang w:val="en-US" w:eastAsia="zh-CN"/>
              </w:rPr>
              <w:t>2000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元/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  <w:lang w:eastAsia="zh-CN"/>
              </w:rPr>
              <w:t>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6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载荷箱</w:t>
            </w:r>
          </w:p>
        </w:tc>
        <w:tc>
          <w:tcPr>
            <w:tcW w:w="430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20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0吨-60MPa</w:t>
            </w:r>
            <w:r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-160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mm</w:t>
            </w:r>
          </w:p>
        </w:tc>
        <w:tc>
          <w:tcPr>
            <w:tcW w:w="2425" w:type="dxa"/>
            <w:textDirection w:val="lrTb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  <w:lang w:val="en-US" w:eastAsia="zh-CN"/>
              </w:rPr>
              <w:t>2800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元/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  <w:lang w:eastAsia="zh-CN"/>
              </w:rPr>
              <w:t>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6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载荷箱</w:t>
            </w:r>
          </w:p>
        </w:tc>
        <w:tc>
          <w:tcPr>
            <w:tcW w:w="430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30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0吨-60MPa</w:t>
            </w:r>
            <w:r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-160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mm</w:t>
            </w:r>
          </w:p>
        </w:tc>
        <w:tc>
          <w:tcPr>
            <w:tcW w:w="2425" w:type="dxa"/>
            <w:textDirection w:val="lrTb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  <w:lang w:val="en-US" w:eastAsia="zh-CN"/>
              </w:rPr>
              <w:t>3500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元/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  <w:lang w:eastAsia="zh-CN"/>
              </w:rPr>
              <w:t>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6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载荷箱</w:t>
            </w:r>
          </w:p>
        </w:tc>
        <w:tc>
          <w:tcPr>
            <w:tcW w:w="430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40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0吨-60MPa</w:t>
            </w:r>
            <w:r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-160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mm</w:t>
            </w:r>
          </w:p>
        </w:tc>
        <w:tc>
          <w:tcPr>
            <w:tcW w:w="2425" w:type="dxa"/>
            <w:textDirection w:val="lrTb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  <w:lang w:val="en-US" w:eastAsia="zh-CN"/>
              </w:rPr>
              <w:t>4200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元/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  <w:lang w:eastAsia="zh-CN"/>
              </w:rPr>
              <w:t>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6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高压油管</w:t>
            </w:r>
          </w:p>
        </w:tc>
        <w:tc>
          <w:tcPr>
            <w:tcW w:w="430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60MPa</w:t>
            </w:r>
          </w:p>
        </w:tc>
        <w:tc>
          <w:tcPr>
            <w:tcW w:w="2425" w:type="dxa"/>
            <w:textDirection w:val="lrTb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元/</w:t>
            </w:r>
            <w:r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6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PVC预埋管</w:t>
            </w:r>
          </w:p>
        </w:tc>
        <w:tc>
          <w:tcPr>
            <w:tcW w:w="4304" w:type="dxa"/>
            <w:vAlign w:val="center"/>
          </w:tcPr>
          <w:p>
            <w:pPr>
              <w:widowControl/>
              <w:spacing w:line="320" w:lineRule="exact"/>
              <w:ind w:left="420" w:leftChars="200"/>
              <w:jc w:val="center"/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直径</w:t>
            </w:r>
            <w:r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5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0mm，</w:t>
            </w:r>
            <w:r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壁厚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3mm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  <w:lang w:val="en-US" w:eastAsia="zh-CN"/>
              </w:rPr>
              <w:t>6m定长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425" w:type="dxa"/>
            <w:textDirection w:val="lrTb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  <w:lang w:val="en-US" w:eastAsia="zh-CN"/>
              </w:rPr>
              <w:t>40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元/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  <w:lang w:eastAsia="zh-CN"/>
              </w:rPr>
              <w:t>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6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5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0PVC预埋管接头</w:t>
            </w:r>
          </w:p>
        </w:tc>
        <w:tc>
          <w:tcPr>
            <w:tcW w:w="4304" w:type="dxa"/>
            <w:vAlign w:val="center"/>
          </w:tcPr>
          <w:p>
            <w:pPr>
              <w:widowControl/>
              <w:spacing w:line="320" w:lineRule="exact"/>
              <w:ind w:left="420" w:leftChars="200"/>
              <w:jc w:val="center"/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内径</w:t>
            </w:r>
            <w:r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5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0mm，</w:t>
            </w:r>
            <w:r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壁厚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3mm</w:t>
            </w:r>
          </w:p>
        </w:tc>
        <w:tc>
          <w:tcPr>
            <w:tcW w:w="2425" w:type="dxa"/>
            <w:textDirection w:val="lrTb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元/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  <w:lang w:eastAsia="zh-CN"/>
              </w:rPr>
              <w:t>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6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位移丝</w:t>
            </w:r>
          </w:p>
        </w:tc>
        <w:tc>
          <w:tcPr>
            <w:tcW w:w="43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color w:val="333333"/>
                <w:kern w:val="2"/>
                <w:sz w:val="24"/>
                <w:szCs w:val="24"/>
                <w:lang w:val="en-US" w:eastAsia="zh-CN" w:bidi="ar"/>
              </w:rPr>
              <w:t>内丝直径</w:t>
            </w:r>
            <w:r>
              <w:rPr>
                <w:rFonts w:hint="default" w:ascii="Times New Roman" w:hAnsi="Times New Roman" w:eastAsia="Times New Roman" w:cs="Times New Roman"/>
                <w:color w:val="333333"/>
                <w:kern w:val="2"/>
                <w:sz w:val="24"/>
                <w:szCs w:val="24"/>
                <w:lang w:val="en-US" w:eastAsia="zh-CN" w:bidi="ar"/>
              </w:rPr>
              <w:t>2mm</w:t>
            </w:r>
            <w:bookmarkStart w:id="0" w:name="_GoBack"/>
            <w:bookmarkEnd w:id="0"/>
            <w:r>
              <w:rPr>
                <w:rFonts w:hint="eastAsia" w:ascii="Calibri" w:hAnsi="Calibri" w:eastAsia="宋体" w:cs="Times New Roman"/>
                <w:color w:val="333333"/>
                <w:kern w:val="2"/>
                <w:sz w:val="24"/>
                <w:szCs w:val="24"/>
                <w:lang w:val="en-US" w:eastAsia="zh-CN" w:bidi="ar"/>
              </w:rPr>
              <w:t>，外套</w:t>
            </w:r>
            <w:r>
              <w:rPr>
                <w:rFonts w:hint="default" w:ascii="Calibri" w:hAnsi="Calibri" w:eastAsia="宋体" w:cs="Times New Roman"/>
                <w:color w:val="333333"/>
                <w:kern w:val="2"/>
                <w:sz w:val="24"/>
                <w:szCs w:val="24"/>
                <w:lang w:val="en-US" w:eastAsia="zh-CN" w:bidi="ar"/>
              </w:rPr>
              <w:t>8mm</w:t>
            </w:r>
          </w:p>
        </w:tc>
        <w:tc>
          <w:tcPr>
            <w:tcW w:w="2425" w:type="dxa"/>
            <w:textDirection w:val="lrTb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元/</w:t>
            </w:r>
            <w:r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6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自密封快速接头</w:t>
            </w:r>
          </w:p>
        </w:tc>
        <w:tc>
          <w:tcPr>
            <w:tcW w:w="4304" w:type="dxa"/>
            <w:vAlign w:val="center"/>
          </w:tcPr>
          <w:p>
            <w:pPr>
              <w:widowControl/>
              <w:spacing w:line="320" w:lineRule="exact"/>
              <w:ind w:left="420" w:leftChars="200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16 mm</w:t>
            </w:r>
          </w:p>
        </w:tc>
        <w:tc>
          <w:tcPr>
            <w:tcW w:w="2425" w:type="dxa"/>
            <w:textDirection w:val="lrTb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  <w:lang w:val="en-US" w:eastAsia="zh-CN"/>
              </w:rPr>
              <w:t>80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元/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  <w:lang w:eastAsia="zh-CN"/>
              </w:rPr>
              <w:t>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6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自密封快速接头</w:t>
            </w:r>
          </w:p>
        </w:tc>
        <w:tc>
          <w:tcPr>
            <w:tcW w:w="4304" w:type="dxa"/>
            <w:vAlign w:val="center"/>
          </w:tcPr>
          <w:p>
            <w:pPr>
              <w:widowControl/>
              <w:spacing w:line="320" w:lineRule="exact"/>
              <w:ind w:left="420" w:leftChars="200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22mm</w:t>
            </w:r>
          </w:p>
        </w:tc>
        <w:tc>
          <w:tcPr>
            <w:tcW w:w="2425" w:type="dxa"/>
            <w:textDirection w:val="lrTb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  <w:lang w:val="en-US" w:eastAsia="zh-CN"/>
              </w:rPr>
              <w:t>100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元/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  <w:lang w:eastAsia="zh-CN"/>
              </w:rPr>
              <w:t>对</w:t>
            </w:r>
          </w:p>
        </w:tc>
      </w:tr>
    </w:tbl>
    <w:p>
      <w:pPr>
        <w:widowControl/>
        <w:spacing w:line="52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2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 xml:space="preserve"> 投标人资格</w:t>
      </w:r>
    </w:p>
    <w:p>
      <w:pPr>
        <w:widowControl/>
        <w:spacing w:line="52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独立企业法人资格，投标人需提交营业执照、税务登记证、组织机构代码证（或三证合一的新证，年检周期内年检合格）复印件，以及法人身份证复印件。</w:t>
      </w:r>
    </w:p>
    <w:p>
      <w:pPr>
        <w:widowControl/>
        <w:spacing w:line="52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3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对投标人的其他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要求</w:t>
      </w:r>
    </w:p>
    <w:p>
      <w:pPr>
        <w:widowControl/>
        <w:spacing w:line="52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2.1 投标人应严格按照招标文件的有关规定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提供符合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要求的服务。</w:t>
      </w:r>
    </w:p>
    <w:p>
      <w:pPr>
        <w:widowControl/>
        <w:spacing w:line="52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2.2 投标人提供的产品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（服务）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应符合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现行有效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的国家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（地方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或行业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）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标准、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规范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。</w:t>
      </w:r>
    </w:p>
    <w:p>
      <w:pPr>
        <w:widowControl/>
        <w:spacing w:line="52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4  投标文件的组成及要求</w:t>
      </w:r>
    </w:p>
    <w:p>
      <w:pPr>
        <w:widowControl/>
        <w:spacing w:line="52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4.1 文件组成</w:t>
      </w:r>
    </w:p>
    <w:p>
      <w:pPr>
        <w:widowControl/>
        <w:spacing w:line="52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4.1.1 投标函（后附格式）。</w:t>
      </w:r>
    </w:p>
    <w:p>
      <w:pPr>
        <w:widowControl/>
        <w:spacing w:line="52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4.1.2 报价表（后附格式）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，请注意报价表应每页盖章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。</w:t>
      </w:r>
    </w:p>
    <w:p>
      <w:pPr>
        <w:widowControl/>
        <w:spacing w:line="52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4.1.3 授权委托书（后附格式）。</w:t>
      </w:r>
    </w:p>
    <w:p>
      <w:pPr>
        <w:widowControl/>
        <w:spacing w:line="52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4.1.4 企业营业执照、组织机构代码证及税务登记证副本（或三证合一）复印件。</w:t>
      </w:r>
    </w:p>
    <w:p>
      <w:pPr>
        <w:widowControl/>
        <w:spacing w:line="52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4.2 文件的编制和密封要求</w:t>
      </w:r>
    </w:p>
    <w:p>
      <w:pPr>
        <w:widowControl/>
        <w:spacing w:line="52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4.2.1 投标文件正本一份，需装订成册。</w:t>
      </w:r>
    </w:p>
    <w:p>
      <w:pPr>
        <w:widowControl/>
        <w:spacing w:line="52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4.2.2 投标文件须企业法定代表人签章或盖公章。</w:t>
      </w:r>
    </w:p>
    <w:p>
      <w:pPr>
        <w:widowControl/>
        <w:spacing w:line="52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4.2.3 投标文件须装袋密封，封口处须加盖单位公章，封面应注明投标单位名称、联系人、联系电话等。</w:t>
      </w:r>
    </w:p>
    <w:p>
      <w:pPr>
        <w:widowControl/>
        <w:spacing w:line="52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5 报名时间、投标截止时间、开标时间及地点。</w:t>
      </w:r>
    </w:p>
    <w:p>
      <w:pPr>
        <w:widowControl/>
        <w:spacing w:line="520" w:lineRule="exact"/>
        <w:ind w:firstLine="480" w:firstLineChars="200"/>
        <w:jc w:val="left"/>
        <w:rPr>
          <w:rFonts w:ascii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Times New Roman" w:hAnsi="Times New Roman" w:cs="Times New Roman"/>
          <w:color w:val="FF0000"/>
          <w:kern w:val="0"/>
          <w:sz w:val="24"/>
          <w:szCs w:val="24"/>
        </w:rPr>
        <w:t>5.1 报名时间：201</w:t>
      </w:r>
      <w:r>
        <w:rPr>
          <w:rFonts w:hint="eastAsia" w:ascii="Times New Roman" w:hAnsi="Times New Roman" w:cs="Times New Roman"/>
          <w:color w:val="FF0000"/>
          <w:kern w:val="0"/>
          <w:sz w:val="24"/>
          <w:szCs w:val="24"/>
        </w:rPr>
        <w:t>9</w:t>
      </w:r>
      <w:r>
        <w:rPr>
          <w:rFonts w:ascii="Times New Roman" w:hAnsi="Times New Roman" w:cs="Times New Roman"/>
          <w:color w:val="FF0000"/>
          <w:kern w:val="0"/>
          <w:sz w:val="24"/>
          <w:szCs w:val="24"/>
        </w:rPr>
        <w:t>年</w:t>
      </w:r>
      <w:r>
        <w:rPr>
          <w:rFonts w:hint="eastAsia" w:ascii="Times New Roman" w:hAnsi="Times New Roman" w:cs="Times New Roman"/>
          <w:color w:val="FF0000"/>
          <w:kern w:val="0"/>
          <w:sz w:val="24"/>
          <w:szCs w:val="24"/>
        </w:rPr>
        <w:t>12</w:t>
      </w:r>
      <w:r>
        <w:rPr>
          <w:rFonts w:ascii="Times New Roman" w:hAnsi="Times New Roman" w:cs="Times New Roman"/>
          <w:color w:val="FF0000"/>
          <w:kern w:val="0"/>
          <w:sz w:val="24"/>
          <w:szCs w:val="24"/>
        </w:rPr>
        <w:t>月20日8:00至201</w:t>
      </w:r>
      <w:r>
        <w:rPr>
          <w:rFonts w:hint="eastAsia" w:ascii="Times New Roman" w:hAnsi="Times New Roman" w:cs="Times New Roman"/>
          <w:color w:val="FF0000"/>
          <w:kern w:val="0"/>
          <w:sz w:val="24"/>
          <w:szCs w:val="24"/>
        </w:rPr>
        <w:t>9</w:t>
      </w:r>
      <w:r>
        <w:rPr>
          <w:rFonts w:ascii="Times New Roman" w:hAnsi="Times New Roman" w:cs="Times New Roman"/>
          <w:color w:val="FF0000"/>
          <w:kern w:val="0"/>
          <w:sz w:val="24"/>
          <w:szCs w:val="24"/>
        </w:rPr>
        <w:t>年</w:t>
      </w:r>
      <w:r>
        <w:rPr>
          <w:rFonts w:hint="eastAsia" w:ascii="Times New Roman" w:hAnsi="Times New Roman" w:cs="Times New Roman"/>
          <w:color w:val="FF0000"/>
          <w:kern w:val="0"/>
          <w:sz w:val="24"/>
          <w:szCs w:val="24"/>
        </w:rPr>
        <w:t>1</w:t>
      </w:r>
      <w:r>
        <w:rPr>
          <w:rFonts w:ascii="Times New Roman" w:hAnsi="Times New Roman" w:cs="Times New Roman"/>
          <w:color w:val="FF0000"/>
          <w:kern w:val="0"/>
          <w:sz w:val="24"/>
          <w:szCs w:val="24"/>
        </w:rPr>
        <w:t>2月22日16:00，电话报名。</w:t>
      </w:r>
    </w:p>
    <w:p>
      <w:pPr>
        <w:widowControl/>
        <w:spacing w:line="520" w:lineRule="exact"/>
        <w:ind w:firstLine="480" w:firstLineChars="200"/>
        <w:jc w:val="left"/>
        <w:rPr>
          <w:rFonts w:ascii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Times New Roman" w:hAnsi="Times New Roman" w:cs="Times New Roman"/>
          <w:color w:val="FF0000"/>
          <w:kern w:val="0"/>
          <w:sz w:val="24"/>
          <w:szCs w:val="24"/>
        </w:rPr>
        <w:t>5.2 投标截止时间：201</w:t>
      </w:r>
      <w:r>
        <w:rPr>
          <w:rFonts w:hint="eastAsia" w:ascii="Times New Roman" w:hAnsi="Times New Roman" w:cs="Times New Roman"/>
          <w:color w:val="FF0000"/>
          <w:kern w:val="0"/>
          <w:sz w:val="24"/>
          <w:szCs w:val="24"/>
        </w:rPr>
        <w:t>9</w:t>
      </w:r>
      <w:r>
        <w:rPr>
          <w:rFonts w:ascii="Times New Roman" w:hAnsi="Times New Roman" w:cs="Times New Roman"/>
          <w:color w:val="FF0000"/>
          <w:kern w:val="0"/>
          <w:sz w:val="24"/>
          <w:szCs w:val="24"/>
        </w:rPr>
        <w:t>年</w:t>
      </w:r>
      <w:r>
        <w:rPr>
          <w:rFonts w:hint="eastAsia" w:ascii="Times New Roman" w:hAnsi="Times New Roman" w:cs="Times New Roman"/>
          <w:color w:val="FF0000"/>
          <w:kern w:val="0"/>
          <w:sz w:val="24"/>
          <w:szCs w:val="24"/>
        </w:rPr>
        <w:t>1</w:t>
      </w:r>
      <w:r>
        <w:rPr>
          <w:rFonts w:ascii="Times New Roman" w:hAnsi="Times New Roman" w:cs="Times New Roman"/>
          <w:color w:val="FF0000"/>
          <w:kern w:val="0"/>
          <w:sz w:val="24"/>
          <w:szCs w:val="24"/>
        </w:rPr>
        <w:t>2月28日15:00（</w:t>
      </w:r>
      <w:r>
        <w:rPr>
          <w:rFonts w:hint="eastAsia" w:ascii="Times New Roman" w:hAnsi="Times New Roman" w:cs="Times New Roman"/>
          <w:color w:val="FF0000"/>
          <w:kern w:val="0"/>
          <w:sz w:val="24"/>
          <w:szCs w:val="24"/>
        </w:rPr>
        <w:t>投标文件可以采用快递的方式送达，但投标人应测算好快递所消耗的时间</w:t>
      </w:r>
      <w:r>
        <w:rPr>
          <w:rFonts w:ascii="Times New Roman" w:hAnsi="Times New Roman" w:cs="Times New Roman"/>
          <w:color w:val="FF0000"/>
          <w:kern w:val="0"/>
          <w:sz w:val="24"/>
          <w:szCs w:val="24"/>
        </w:rPr>
        <w:t>）。</w:t>
      </w:r>
    </w:p>
    <w:p>
      <w:pPr>
        <w:widowControl/>
        <w:spacing w:line="520" w:lineRule="exact"/>
        <w:ind w:firstLine="480" w:firstLineChars="200"/>
        <w:jc w:val="left"/>
        <w:rPr>
          <w:rFonts w:ascii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Times New Roman" w:hAnsi="Times New Roman" w:cs="Times New Roman"/>
          <w:color w:val="FF0000"/>
          <w:kern w:val="0"/>
          <w:sz w:val="24"/>
          <w:szCs w:val="24"/>
        </w:rPr>
        <w:t>5.3 开标时间：201</w:t>
      </w:r>
      <w:r>
        <w:rPr>
          <w:rFonts w:hint="eastAsia" w:ascii="Times New Roman" w:hAnsi="Times New Roman" w:cs="Times New Roman"/>
          <w:color w:val="FF0000"/>
          <w:kern w:val="0"/>
          <w:sz w:val="24"/>
          <w:szCs w:val="24"/>
        </w:rPr>
        <w:t>9</w:t>
      </w:r>
      <w:r>
        <w:rPr>
          <w:rFonts w:ascii="Times New Roman" w:hAnsi="Times New Roman" w:cs="Times New Roman"/>
          <w:color w:val="FF0000"/>
          <w:kern w:val="0"/>
          <w:sz w:val="24"/>
          <w:szCs w:val="24"/>
        </w:rPr>
        <w:t>年</w:t>
      </w:r>
      <w:r>
        <w:rPr>
          <w:rFonts w:hint="eastAsia" w:ascii="Times New Roman" w:hAnsi="Times New Roman" w:cs="Times New Roman"/>
          <w:color w:val="FF0000"/>
          <w:kern w:val="0"/>
          <w:sz w:val="24"/>
          <w:szCs w:val="24"/>
        </w:rPr>
        <w:t>1</w:t>
      </w:r>
      <w:r>
        <w:rPr>
          <w:rFonts w:ascii="Times New Roman" w:hAnsi="Times New Roman" w:cs="Times New Roman"/>
          <w:color w:val="FF0000"/>
          <w:kern w:val="0"/>
          <w:sz w:val="24"/>
          <w:szCs w:val="24"/>
        </w:rPr>
        <w:t>2月28日15:00。</w:t>
      </w:r>
    </w:p>
    <w:p>
      <w:pPr>
        <w:widowControl/>
        <w:spacing w:line="52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 xml:space="preserve">5.4 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开标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地点：合肥市阜阳北路318号。</w:t>
      </w:r>
    </w:p>
    <w:p>
      <w:pPr>
        <w:widowControl/>
        <w:spacing w:line="52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 xml:space="preserve">6  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中标及合同洽谈</w:t>
      </w:r>
    </w:p>
    <w:p>
      <w:pPr>
        <w:widowControl/>
        <w:spacing w:line="50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招标人组织评标，选取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2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家投标人作为入围中标人，入围中标人应承诺接受招标人在合同签订前的价格谈判。</w:t>
      </w:r>
    </w:p>
    <w:p>
      <w:pPr>
        <w:widowControl/>
        <w:spacing w:line="50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7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 xml:space="preserve">  综合说明</w:t>
      </w:r>
    </w:p>
    <w:p>
      <w:pPr>
        <w:widowControl/>
        <w:spacing w:line="50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7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.1 报价要求：报价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是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上述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检测参数的全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承包费用，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含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运输、保险、利润、税金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等，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政策性文件规定及合同包含的所有风险、责任等各项应有费用。</w:t>
      </w:r>
    </w:p>
    <w:p>
      <w:pPr>
        <w:widowControl/>
        <w:spacing w:line="50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7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.2 付款方式：合同签订后，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完成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相关作业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、服务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，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每季度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（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或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半年）提供增值税专用发票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和决算清单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后10个工作日内，招标人向中标人支付全额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服务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款项。</w:t>
      </w:r>
    </w:p>
    <w:p>
      <w:pPr>
        <w:widowControl/>
        <w:spacing w:line="50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8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 xml:space="preserve">  联系方式</w:t>
      </w:r>
    </w:p>
    <w:p>
      <w:pPr>
        <w:widowControl/>
        <w:spacing w:line="50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招标人：安徽省地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实验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验研究所（国土资源部合肥矿产资源监督检测中心）</w:t>
      </w:r>
    </w:p>
    <w:p>
      <w:pPr>
        <w:widowControl/>
        <w:spacing w:line="50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地  址：合肥市芜湖路239号</w:t>
      </w:r>
    </w:p>
    <w:p>
      <w:pPr>
        <w:widowControl/>
        <w:spacing w:line="50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联系人：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王学松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 xml:space="preserve">      电  话：0551-62861979</w:t>
      </w:r>
    </w:p>
    <w:p>
      <w:pPr>
        <w:widowControl/>
        <w:spacing w:line="50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手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机：13805519097</w:t>
      </w:r>
    </w:p>
    <w:p>
      <w:pPr>
        <w:widowControl/>
        <w:spacing w:line="50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另：投标文件格式见附件。</w:t>
      </w:r>
    </w:p>
    <w:p>
      <w:pPr>
        <w:widowControl/>
        <w:spacing w:line="50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</w:p>
    <w:p>
      <w:pPr>
        <w:widowControl/>
        <w:spacing w:line="50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</w:p>
    <w:p>
      <w:pPr>
        <w:widowControl/>
        <w:spacing w:line="500" w:lineRule="exact"/>
        <w:ind w:firstLine="6125" w:firstLineChars="2552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201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9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年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1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2月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17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日</w:t>
      </w:r>
    </w:p>
    <w:sectPr>
      <w:pgSz w:w="11906" w:h="16838"/>
      <w:pgMar w:top="1644" w:right="1418" w:bottom="147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ambria Math">
    <w:panose1 w:val="02040503050406030204"/>
    <w:charset w:val="01"/>
    <w:family w:val="auto"/>
    <w:pitch w:val="variable"/>
    <w:sig w:usb0="E00002FF" w:usb1="420024FF" w:usb2="00000000" w:usb3="00000000" w:csb0="2000019F" w:csb1="00000000"/>
  </w:font>
  <w:font w:name="@宋体">
    <w:panose1 w:val="02010600030101010101"/>
    <w:charset w:val="86"/>
    <w:family w:val="auto"/>
    <w:pitch w:val="variable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7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00902650"/>
    <w:rsid w:val="00011901"/>
    <w:rsid w:val="0002737C"/>
    <w:rsid w:val="00036EA1"/>
    <w:rsid w:val="00127B6C"/>
    <w:rsid w:val="00174387"/>
    <w:rsid w:val="002033E3"/>
    <w:rsid w:val="0022069B"/>
    <w:rsid w:val="00266DCC"/>
    <w:rsid w:val="0029060A"/>
    <w:rsid w:val="00290948"/>
    <w:rsid w:val="002D74A7"/>
    <w:rsid w:val="00324B42"/>
    <w:rsid w:val="00351633"/>
    <w:rsid w:val="00370589"/>
    <w:rsid w:val="00376652"/>
    <w:rsid w:val="00376DF1"/>
    <w:rsid w:val="003913AD"/>
    <w:rsid w:val="003B0658"/>
    <w:rsid w:val="003F3898"/>
    <w:rsid w:val="00403AD4"/>
    <w:rsid w:val="004074D0"/>
    <w:rsid w:val="004D17A6"/>
    <w:rsid w:val="005060C1"/>
    <w:rsid w:val="00557E2E"/>
    <w:rsid w:val="00581345"/>
    <w:rsid w:val="0068050B"/>
    <w:rsid w:val="006B37A6"/>
    <w:rsid w:val="006B6C3A"/>
    <w:rsid w:val="006D2F90"/>
    <w:rsid w:val="006D47B9"/>
    <w:rsid w:val="00704A19"/>
    <w:rsid w:val="00732A6E"/>
    <w:rsid w:val="007D7B29"/>
    <w:rsid w:val="00861451"/>
    <w:rsid w:val="008619FD"/>
    <w:rsid w:val="00864384"/>
    <w:rsid w:val="00872C13"/>
    <w:rsid w:val="008948AF"/>
    <w:rsid w:val="00894AD0"/>
    <w:rsid w:val="008D1716"/>
    <w:rsid w:val="008F20FF"/>
    <w:rsid w:val="00902650"/>
    <w:rsid w:val="009166DF"/>
    <w:rsid w:val="00931E79"/>
    <w:rsid w:val="00943024"/>
    <w:rsid w:val="009A22FC"/>
    <w:rsid w:val="009E29B0"/>
    <w:rsid w:val="009F7435"/>
    <w:rsid w:val="00A71F15"/>
    <w:rsid w:val="00C22641"/>
    <w:rsid w:val="00CD14BF"/>
    <w:rsid w:val="00CE5DB4"/>
    <w:rsid w:val="00CF0013"/>
    <w:rsid w:val="00D325E1"/>
    <w:rsid w:val="00DE284E"/>
    <w:rsid w:val="00DF638E"/>
    <w:rsid w:val="00E538D4"/>
    <w:rsid w:val="00E714CC"/>
    <w:rsid w:val="00E90699"/>
    <w:rsid w:val="00EA05F8"/>
    <w:rsid w:val="00F30451"/>
    <w:rsid w:val="00F548D9"/>
    <w:rsid w:val="00F61EBE"/>
    <w:rsid w:val="00FB7E0C"/>
    <w:rsid w:val="075870DE"/>
    <w:rsid w:val="07DD5CB2"/>
    <w:rsid w:val="07E8039B"/>
    <w:rsid w:val="1BC40B13"/>
    <w:rsid w:val="1E185AC3"/>
    <w:rsid w:val="1F6C149A"/>
    <w:rsid w:val="230F1088"/>
    <w:rsid w:val="28C3752B"/>
    <w:rsid w:val="2A8B452A"/>
    <w:rsid w:val="2F3C5775"/>
    <w:rsid w:val="33BB30BE"/>
    <w:rsid w:val="344A4014"/>
    <w:rsid w:val="36030482"/>
    <w:rsid w:val="398A7C83"/>
    <w:rsid w:val="50AB583E"/>
    <w:rsid w:val="55B15A0A"/>
    <w:rsid w:val="58826A71"/>
    <w:rsid w:val="5B422E2E"/>
    <w:rsid w:val="5C527DB0"/>
    <w:rsid w:val="5E376753"/>
    <w:rsid w:val="61541412"/>
    <w:rsid w:val="65907528"/>
    <w:rsid w:val="6F0A4606"/>
    <w:rsid w:val="78E16104"/>
    <w:rsid w:val="7CCB14D9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Calibri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260</Words>
  <Characters>1482</Characters>
  <Lines>12</Lines>
  <Paragraphs>3</Paragraphs>
  <TotalTime>0</TotalTime>
  <ScaleCrop>false</ScaleCrop>
  <LinksUpToDate>false</LinksUpToDate>
  <CharactersWithSpaces>1739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2016-11-15T06:55:00Z</dcterms:created>
  <dc:creator>Administrator</dc:creator>
  <cp:lastModifiedBy>Administrator</cp:lastModifiedBy>
  <dcterms:modified xsi:type="dcterms:W3CDTF">2019-12-23T07:05:49Z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