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中华人民共和国招标投标法实施条例</w:t>
      </w:r>
    </w:p>
    <w:p>
      <w:p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2011年12月20日中华人民共和国国务院令第613号公布</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根据2017年3月1日《国务院关于修改和废止部分行政法规的决定》第一次修订</w:t>
      </w:r>
      <w:r>
        <w:rPr>
          <w:rFonts w:hint="eastAsia" w:ascii="仿宋_GB2312" w:hAnsi="仿宋_GB2312" w:eastAsia="仿宋_GB2312" w:cs="仿宋_GB2312"/>
          <w:sz w:val="28"/>
          <w:szCs w:val="28"/>
          <w:lang w:eastAsia="zh-CN"/>
        </w:rPr>
        <w:t>。</w:t>
      </w:r>
    </w:p>
    <w:p>
      <w:pPr>
        <w:pStyle w:val="2"/>
        <w:jc w:val="center"/>
        <w:rPr>
          <w:rFonts w:hint="eastAsia" w:ascii="黑体" w:hAnsi="黑体" w:eastAsia="黑体" w:cs="黑体"/>
          <w:b w:val="0"/>
          <w:bCs/>
          <w:sz w:val="36"/>
          <w:szCs w:val="36"/>
        </w:rPr>
      </w:pPr>
      <w:r>
        <w:rPr>
          <w:rFonts w:hint="eastAsia" w:ascii="黑体" w:hAnsi="黑体" w:eastAsia="黑体" w:cs="黑体"/>
          <w:b w:val="0"/>
          <w:bCs/>
          <w:sz w:val="36"/>
          <w:szCs w:val="36"/>
        </w:rPr>
        <w:t>第一章　总 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为了规范招标投标活动，根据《中华人民共和国招标投标法》（以下简称招标投标法），制定本条例。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招标投标法第三条所称工程建设项目，是指工程以及与工程建设有关的货物、服务。</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依法必须进行招标的工程建设项目的具体范围和规模标准，由国务院发展改革部门会同国务院有关部门制订，报国务院批准后公布施行。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财政部门依法对实行招标投标的政府采购工程建设项目的预算执行情况和政府采购政策执行情况实施监督。</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监察机关依法对与招标投标活动有关的监察对象实施监察。</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设区的市级以上地方人民政府可以根据实际需要，建立统一规范的招标投标交易场所，为招标投标活动提供服务。招标投标交易场所不得与行政监督部门存在隶属关系，不得以营利为目的。</w:t>
      </w:r>
    </w:p>
    <w:p>
      <w:pPr>
        <w:numPr>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国家鼓励利用信息网络进行电子招标投标。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禁止国家工作人员以任何方式非法干涉招标投标活动。</w:t>
      </w:r>
    </w:p>
    <w:p>
      <w:pPr>
        <w:pStyle w:val="2"/>
        <w:jc w:val="center"/>
        <w:rPr>
          <w:rFonts w:hint="eastAsia" w:ascii="黑体" w:hAnsi="黑体" w:eastAsia="黑体" w:cs="黑体"/>
          <w:b w:val="0"/>
          <w:bCs/>
          <w:sz w:val="36"/>
          <w:szCs w:val="36"/>
        </w:rPr>
      </w:pPr>
      <w:r>
        <w:rPr>
          <w:rFonts w:hint="eastAsia" w:ascii="黑体" w:hAnsi="黑体" w:eastAsia="黑体" w:cs="黑体"/>
          <w:b w:val="0"/>
          <w:bCs/>
          <w:sz w:val="36"/>
          <w:szCs w:val="36"/>
        </w:rPr>
        <w:t>第二章　招 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国有资金占控股或者主导地位的依法必须进行招标的项目，应当公开招标；但有下列情形之一的，可以邀请招标：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（一）技术复杂、有特殊要求或者受自然环境限制，只有少量潜在投标人可供选择；</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（二）采用公开招标方式的费用占项目合同金额的比例过大。</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有前款第二项所列情形，属于本条例第七条规定的项目，由项目审批、核准部门在审批、核准项目时作出认定；其他项目由招标人申请有关行政监督部门作出认定。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除招标投标法第六十六条规定的可以不进行招标的特殊情况外，有下列情形之一的，可以不进行招标：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（一）需要采用不可替代的专利或者专有技术；</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（二）采购人依法能够自行建设、生产或者提供；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（三）已通过招标方式选定的特许经营项目投资人依法能够自行建设、生产或者提供；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（四）需要向原中标人采购工程、货物或者服务，否则将影响施工或者功能配套要求；</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（五）国家规定的其他特殊情形。</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招标人为适用前款规定弄虚作假的，属于招标投标法第四条规定的规避招标。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招标投标法第十二条第二款规定的招标人具有编制招标文件和组织评标能力，是指招标人具有与招标项目规模和复杂程度相适应的技术、经济等方面的专业人员。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国务院住房城乡建设、商务、发展改革、工业和信息化等部门，按照规定的职责分工对招标代理机构依法实施监督管理。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招标代理机构应当拥有一定数量的具备编制招标文件、组织评标等相应能力的专业人员。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招标代理机构在招标人委托的范围内开展招标代理业务，任何单位和个人不得非法干涉。</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招标代理机构代理招标业务，应当遵守招标投标法和本条例关于招标人的规定。招标代理机构不得在所代理的招标项目中投标或者代理投标，也不得为所代理的招标项目的投标人提供咨询。</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招标人应当与被委托的招标代理机构签订书面委托合同，合同约定的收费标准应当符合国家有关规定。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公开招标的项目，应当依照招标投标法和本条例的规定发布招标公告、编制招标文件。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招标人采用资格预审办法对潜在投标人进行资格审查的，应当发布资格预审公告、编制资格预审文件。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编制依法必须进行招标的项目的资格预审文件和招标文件，应当使用国务院发展改革部门会同有关行政监督部门制定的标准文本。</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招标人应当按照资格预审公告、招标公告或者投标邀请书规定的时间、地点发售资格预审文件或者招标文件。资格预审文件或者招标文件的发售期不得少于5日。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招标人发售资格预审文件、招标文件收取的费用应当限于补偿印刷、邮寄的成本支出，不得以营利为目的。</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招标人应当合理确定提交资格预审申请文件的时间。依法必须进行招标的项目提交资格预审申请文件的时间，自资格预审文件停止发售之日起不得少于5日。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资格预审应当按照资格预审文件载明的标准和方法进行。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资格预审结束后，招标人应当及时向资格预审申请人发出资格预审结果通知书。未通过资格预审的申请人不具有投标资格。</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通过资格预审的申请人少于3个的，应当重新招标。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招标人采用资格后审办法对投标人进行资格审查的，应当在开标后由评标委员会按照招标文件规定的标准和方法对投标人的资格进行审查。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招标人对招标项目划分标段的，应当遵守招标投标法的有关规定，不得利用划分标段限制或者排斥潜在投标人。依法必须进行招标的项目的招标人不得利用划分标段规避招标。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招标人应当在招标文件中载明投标有效期。投标有效期从提交投标文件的截止之日起算。</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招标人在招标文件中要求投标人提交投标保证金的，投标保证金不得超过招标项目估算价的2%。投标保证金有效期应当与投标有效期一致。</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依法必须进行招标的项目的境内投标单位，以现金或者支票形式提交的投标保证金应当从其基本账户转出。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招标人不得挪用投标保证金。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招标人可以自行决定是否编制标底。一个招标项目只能有一个标底。标底必须保密。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接受委托编制标底的中介机构不得参加受托编制标底项目的投标，也不得为该项目的投标人编制投标文件或者提供咨询。</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招标人设有最高投标限价的，应当在招标文件中明确最高投标限价或者最高投标限价的计算方法。招标人不得规定最低投标限价。</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招标人不得组织单个或者部分潜在投标人踏勘项目现场。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前款所称暂估价，是指总承包招标时不能确定价格而由招标人在招标文件中暂时估定的工程、货物、服务的金额。</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对技术复杂或者无法精确拟定技术规格的项目，招标人可以分两阶段进行招标。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第一阶段，投标人按照招标公告或者投标邀请书的要求提交不带报价的技术建议，招标人根据投标人提交的技术建议确定技术标准和要求，编制招标文件。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第二阶段，招标人向在第一阶段提交技术建议的投标人提供招标文件，投标人按照招标文件的要求提交包括最终技术方案和投标报价的投标文件。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招标人要求投标人提交投标保证金的，应当在第二阶段提出。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招标人不得以不合理的条件限制、排斥潜在投标人或者投标人。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招标人有下列行为之一的，属于以不合理条件限制、排斥潜在投标人或者投标人：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（一）就同一招标项目向潜在投标人或者投标人提供有差别的项目信息；</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（二）设定的资格、技术、商务条件与招标项目的具体特点和实际需要不相适应或者与合同履行无关；</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（三）依法必须进行招标的项目以特定行政区域或者特定行业的业绩、奖项作为加分条件或者中标条件；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（四）对潜在投标人或者投标人采取不同的资格审查或者评标标准；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（五）限定或者指定特定的专利、商标、品牌、原产地或者供应商；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（六）依法必须进行招标的项目非法限定潜在投标人或者投标人的所有制形式或者组织形式；</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（七）以其他不合理条件限制、排斥潜在投标人或者投标人。</w:t>
      </w:r>
    </w:p>
    <w:p>
      <w:pPr>
        <w:pStyle w:val="2"/>
        <w:jc w:val="center"/>
        <w:rPr>
          <w:rFonts w:hint="eastAsia" w:ascii="黑体" w:hAnsi="黑体" w:eastAsia="黑体" w:cs="黑体"/>
          <w:b w:val="0"/>
          <w:bCs/>
          <w:sz w:val="36"/>
          <w:szCs w:val="36"/>
        </w:rPr>
      </w:pPr>
      <w:r>
        <w:rPr>
          <w:rFonts w:hint="eastAsia" w:ascii="黑体" w:hAnsi="黑体" w:eastAsia="黑体" w:cs="黑体"/>
          <w:b w:val="0"/>
          <w:bCs/>
          <w:sz w:val="36"/>
          <w:szCs w:val="36"/>
        </w:rPr>
        <w:t>第三章</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投 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投标人参加依法必须进行招标的项目的投标，不受地区或者部门的限制，任何单位和个人不得非法干涉。</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与招标人存在利害关系可能影响招标公正性的法人、其他组织或者个人，不得参加投标。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单位负责人为同一人或者存在控股、管理关系的不同单位，不得参加同一标段投标或者未划分标段的同一招标项目投标。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违反前两款规定的，相关投标均无效。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投标人撤回已提交的投标文件，应当在投标截止时间前书面通知招标人。招标人已收取投标保证金的，应当自收到投标人书面撤回通知之日起5日内退还。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投标截止后投标人撤销投标文件的，招标人可以不退还投标保证金。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未通过资格预审的申请人提交的投标文件，以及逾期送达或者不按照招标文件要求密封的投标文件，招标人应当拒收。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招标人应当如实记载投标文件的送达时间和密封情况，并存档备查。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招标人应当在资格预审公告、招标公告或者投标邀请书中载明是否接受联合体投标。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招标人接受联合体投标并进行资格预审的，联合体应当在提交资格预审申请文件前组成。资格预审后联合体增减、更换成员的，其投标无效。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联合体各方在同一招标项目中以自己名义单独投标或者参加其他联合体投标的，相关投标均无效。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投标人发生合并、分立、破产等重大变化的，应当及时书面告知招标人。投标人不再具备资格预审文件、招标文件规定的资格条件或者其投标影响招标公正性的，其投标无效。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禁止投标人相互串通投标。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有下列情形之一的，属于投标人相互串通投标：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（一）投标人之间协商投标报价等投标文件的实质性内容；</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（二）投标人之间约定中标人；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（三）投标人之间约定部分投标人放弃投标或者中标；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（四）属于同一集团、协会、商会等组织成员的投标人按照该组织要求协同投标；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（五）投标人之间为谋取中标或者排斥特定投标人而采取的其他联合行动。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有下列情形之一的，视为投标人相互串通投标：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（一）不同投标人的投标文件由同一单位或者个人编制；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（二）不同投标人委托同一单位或者个人办理投标事宜；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（三）不同投标人的投标文件载明的项目管理成员为同一人；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（四）不同投标人的投标文件异常一致或者投标报价呈规律性差异；</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（五）不同投标人的投标文件相互混装；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（六）不同投标人的投标保证金从同一单位或者个人的账户转出。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禁止招标人与投标人串通投标。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有下列情形之一的，属于招标人与投标人串通投标：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（一）招标人在开标前开启投标文件并将有关信息泄露给其他投标人;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（二）招标人直接或者间接向投标人泄露标底、评标委员会成员等信息；</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（三）招标人明示或者暗示投标人压低或者抬高投标报价；</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（四）招标人授意投标人撤换、修改投标文件；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（五）招标人明示或者暗示投标人为特定投标人中标提供方便；</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（六）招标人与投标人为谋求特定投标人中标而采取的其他串通行为。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使用通过受让或者租借等方式获取的资格、资质证书投标的，属于招标投标法第三十三条规定的以他人名义投标。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投标人有下列情形之一的，属于招标投标法第三十三条规定的以其他方式弄虚作假的行为：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（一）使用伪造、变造的许可证件；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（二）提供虚假的财务状况或者业绩；</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（三）提供虚假的项目负责人或者主要技术人员简历、劳动关系证明；</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（四）提供虚假的信用状况；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（五）其他弄虚作假的行为。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提交资格预审申请文件的申请人应当遵守招标投标法和本条例有关投标人的规定。</w:t>
      </w:r>
    </w:p>
    <w:p>
      <w:pPr>
        <w:pStyle w:val="2"/>
        <w:jc w:val="center"/>
        <w:rPr>
          <w:rFonts w:hint="eastAsia" w:ascii="仿宋_GB2312" w:hAnsi="仿宋_GB2312" w:eastAsia="仿宋_GB2312" w:cs="仿宋_GB2312"/>
          <w:sz w:val="32"/>
          <w:szCs w:val="32"/>
        </w:rPr>
      </w:pPr>
      <w:r>
        <w:rPr>
          <w:rFonts w:hint="eastAsia" w:ascii="黑体" w:hAnsi="黑体" w:eastAsia="黑体" w:cs="黑体"/>
          <w:b w:val="0"/>
          <w:bCs/>
          <w:sz w:val="36"/>
          <w:szCs w:val="36"/>
        </w:rPr>
        <w:t>第四章</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开标、评标和中标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招标人应当按照招标文件规定的时间、地点开标。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投标人少于3个的，不得开标；招标人应当重新招标。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投标人对开标有异议的，应当在开标现场提出，招标人应当当场作出答复，并制作记录。</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国家实行统一的评标专家专业分类标准和管理办法。具体标准和办法由国务院发展改革部门会同国务院有关部门制定。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省级人民政府和国务院有关部门应当组建综合评标专家库。</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依法必须进行招标的项目的招标人非因招标投标法和本条例规定的事由，不得更换依法确定的评标委员会成员。更换评标委员会的专家成员应当依照前款规定进行。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评标委员会成员与投标人有利害关系的，应当主动回避。</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有关行政监督部门应当按照规定的职责分工，对评标委员会成员的确定方式、评标专家的抽取和评标活动进行监督。行政监督部门的工作人员不得担任本部门负责监督项目的评标委员会成员。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招标投标法第三十七条第三款所称特殊招标项目，是指技术复杂、专业性强或者国家有特殊要求，采取随机抽取方式确定的专家难以保证胜任评标工作的项目。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招标人应当向评标委员会提供评标所必需的信息，但不得明示或者暗示其倾向或者排斥特定投标人。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招标人应当根据项目规模和技术复杂程度等因素合理确定评标时间。超过三分之一的评标委员会成员认为评标时间不够的，招标人应当适当延长。</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评标过程中，评标委员会成员有回避事由、擅离职守或者因健康等原因不能继续评标的，应当及时更换。被更换的评标委员会成员作出的评审结论无效，由更换后的评标委员会成员重新进行评审。</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评标委员会成员应当依照招标投标法和本条例的规定，按照招标文件规定的评标标准和方法，客观、公正地对投标文件提出评审意见。招标文件没有规定的评标标准和方法不得作为评标的依据。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招标项目设有标底的，招标人应当在开标时公布。标底只能作为评标的参考，不得以投标报价是否接近标底作为中标条件，也不得以投标报价超过标底上下浮动范围作为否决投标的条件。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有下列情形之一的，评标委员会应当否决其投标：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（一）投标文件未经投标单位盖章和单位负责人签字；</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（二）投标联合体没有提交共同投标协议；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（三）投标人不符合国家或者招标文件规定的资格条件；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（四）同一投标人提交两个以上不同的投标文件或者投标报价，但招标文件要求提交备选投标的除外；</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（五）投标报价低于成本或者高于招标文件设定的最高投标限价；</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（六）投标文件没有对招标文件的实质性要求和条件作出响应；</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（七）投标人有串通投标、弄虚作假、行贿等违法行为。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评标委员会不得暗示或者诱导投标人作出澄清、说明，不得接受投标人主动提出的澄清、说明。</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评标完成后，评标委员会应当向招标人提交书面评标报告和中标候选人名单。中标候选人应当不超过3个，并标明排序。</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依法必须进行招标的项目，招标人应当自收到评标报告之日起3日内公示中标候选人，公示期不得少于3日。</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投标人或者其他利害关系人对依法必须进行招标的项目的评标结果有异议的，应当在中标候选人公示期间提出。招标人应当自收到异议之日起3日内作出答复；作出答复前，应当暂停招标投标活动。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中标候选人的经营、财务状况发生较大变化或者存在违法行为，招标人认为可能影响其履约能力的，应当在发出中标通知书前由原评标委员会按照招标文件规定的标准和方法审查确认。</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招标人最迟应当在书面合同签订后5日内向中标人和未中标的投标人退还投标保证金及银行同期存款利息。</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招标文件要求中标人提交履约保证金的，中标人应当按照招标文件的要求提交。履约保证金不得超过中标合同金额的10%。</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中标人应当按照合同约定履行义务，完成中标项目。中标人不得向他人转让中标项目，也不得将中标项目肢解后分别向他人转让。</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中标人按照合同约定或者经招标人同意，可以将中标项目的部分非主体、非关键性工作分包给他人完成。接受分包的人应当具备相应的资格条件，并不得再次分包。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中标人应当就分包项目向招标人负责，接受分包的人就分包项目承担连带责任。 </w:t>
      </w:r>
    </w:p>
    <w:p>
      <w:pPr>
        <w:pStyle w:val="2"/>
        <w:jc w:val="center"/>
        <w:rPr>
          <w:rFonts w:hint="eastAsia" w:ascii="仿宋_GB2312" w:hAnsi="仿宋_GB2312" w:eastAsia="仿宋_GB2312" w:cs="仿宋_GB2312"/>
          <w:sz w:val="32"/>
          <w:szCs w:val="32"/>
        </w:rPr>
      </w:pPr>
      <w:r>
        <w:rPr>
          <w:rFonts w:hint="eastAsia" w:ascii="黑体" w:hAnsi="黑体" w:eastAsia="黑体" w:cs="黑体"/>
          <w:b w:val="0"/>
          <w:bCs/>
          <w:sz w:val="36"/>
          <w:szCs w:val="36"/>
        </w:rPr>
        <w:t>第五章</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投诉与处理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投标人或者其他利害关系人认为招标投标活动不符合法律、行政法规规定的，可以自知道或者应当知道之日起10日内向有关行政监督部门投诉。投诉应当有明确的请求和必要的证明材料。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就本条例第二十二条、第四十四条、第五十四条规定事项投诉的，应当先向招标人提出异议，异议答复期间不计算在前款规定的期限内。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投诉人就同一事项向两个以上有权受理的行政监督部门投诉的，由最先收到投诉的行政监督部门负责处理。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行政监督部门应当自收到投诉之日起3个工作日内决定是否受理投诉，并自受理投诉之日起30个工作日内作出书面处理决定；需要检验、检测、鉴定、专家评审的，所需时间不计算在内。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投诉人捏造事实、伪造材料或者以非法手段取得证明材料进行投诉的，行政监督部门应当予以驳回。</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行政监督部门处理投诉，有权查阅、复制有关文件、资料，调查有关情况，相关单位和人员应当予以配合。必要时，行政监督部门可以责令暂停招标投标活动。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行政监督部门的工作人员对监督检查过程中知悉的国家秘密、商业秘密，应当依法予以保密。 </w:t>
      </w:r>
    </w:p>
    <w:p>
      <w:pPr>
        <w:pStyle w:val="2"/>
        <w:jc w:val="center"/>
        <w:rPr>
          <w:rFonts w:hint="eastAsia" w:ascii="仿宋_GB2312" w:hAnsi="仿宋_GB2312" w:eastAsia="仿宋_GB2312" w:cs="仿宋_GB2312"/>
          <w:sz w:val="32"/>
          <w:szCs w:val="32"/>
        </w:rPr>
      </w:pPr>
      <w:r>
        <w:rPr>
          <w:rFonts w:hint="eastAsia" w:ascii="黑体" w:hAnsi="黑体" w:eastAsia="黑体" w:cs="黑体"/>
          <w:b w:val="0"/>
          <w:bCs/>
          <w:sz w:val="36"/>
          <w:szCs w:val="36"/>
        </w:rPr>
        <w:t>第六章</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法律责任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招标人有下列限制或者排斥潜在投标人行为之一的，由有关行政监督部门依照招标投标法第五十一条的规定处罚：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（一）依法应当公开招标的项目不按照规定在指定媒介发布资格预审公告或者招标公告；</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（二）在不同媒介发布的同一招标项目的资格预审公告或者招标公告的内容不一致，影响潜在投标人申请资格预审或者投标。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依法必须进行招标的项目的招标人不按照规定发布资格预审公告或者招标公告，构成规避招标的，依照招标投标法第四十九条的规定处罚。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招标人有下列情形之一的，由有关行政监督部门责令改正，可以处10万元以下的罚款：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（一）依法应当公开招标而采用邀请招标；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（二）招标文件、资格预审文件的发售、澄清、修改的时限，或者确定的提交资格预审申请文件、投标文件的时限不符合招标投标法和本条例规定；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（三）接受未通过资格预审的单位或者个人参加投标；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（四）接受应当拒收的投标文件。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招标人有前款第一项、第三项、第四项所列行为之一的，对单位直接负责的主管人员和其他直接责任人员依法给予处分。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投标人有下列行为之一的，属于招标投标法第五十三条规定的情节严重行为，由有关行政监督部门取消其1年至2年内参加依法必须进行招标的项目的投标资格：</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（一）以行贿谋取中标；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（二）3年内2次以上串通投标；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（三）串通投标行为损害招标人、其他投标人或者国家、集体、公民的合法利益，造成直接经济损失30万元以上；</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（四）其他串通投标情节严重的行为。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投标人自本条第二款规定的处罚执行期限届满之日起3年内又有该款所列违法行为之一的，或者串通投标、以行贿谋取中标情节特别严重的，由工商行政管理机关吊销营业执照。</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法律、行政法规对串通投标报价行为的处罚另有规定的，从其规定。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投标人有下列行为之一的，属于招标投标法第五十四条规定的情节严重行为，由有关行政监督部门取消其1年至3年内参加依法必须进行招标的项目的投标资格：</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（一）伪造、变造资格、资质证书或者其他许可证件骗取中标；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（二）3年内2次以上使用他人名义投标；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（三）弄虚作假骗取中标给招标人造成直接经济损失30万元以上；</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（四）其他弄虚作假骗取中标情节严重的行为。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投标人自本条第二款规定的处罚执行期限届满之日起3年内又有该款所列违法行为之一的，或者弄虚作假骗取中标情节特别严重的，由工商行政管理机关吊销营业执照。</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出让或者出租资格、资质证书供他人投标的，依照法律、行政法规的规定给予行政处罚；构成犯罪的，依法追究刑事责任。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国家工作人员以任何方式非法干涉选取评标委员会成员的，依照本条例第八十一条的规定追究法律责任。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（一）应当回避而不回避；</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（二）擅离职守；</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（三）不按照招标文件规定的评标标准和方法评标；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（四）私下接触投标人；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（五）向招标人征询确定中标人的意向或者接受任何单位或者个人明示或者暗示提出的倾向或者排斥特定投标人的要求；</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（六）对依法应当否决的投标不提出否决意见；</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（七）暗示或者诱导投标人作出澄清、说明或者接受投标人主动提出的澄清、说明；</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（八）其他不客观、不公正履行职务的行为。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（一）无正当理由不发出中标通知书；</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（二）不按照规定确定中标人；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（三）中标通知书发出后无正当理由改变中标结果；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（四）无正当理由不与中标人订立合同；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（五）在订立合同时向中标人提出附加条件。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投标人或者其他利害关系人捏造事实、伪造材料或者以非法手段取得证明材料进行投诉，给他人造成损失的，依法承担赔偿责任。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招标人不按照规定对异议作出答复，继续进行招标投标活动的，由有关行政监督部门责令改正，拒不改正或者不能改正并影响中标结果的，依照本条例第八十二条的规定处理。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国家建立招标投标信用制度。有关行政监督部门应当依法公告对招标人、招标代理机构、投标人、评标委员会成员等当事人违法行为的行政处理决定。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项目审批、核准部门不依法审批、核准项目招标范围、招标方式、招标组织形式的，对单位直接负责的主管人员和其他直接责任人员依法给予处分。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项目审批、核准部门和有关行政监督部门的工作人员徇私舞弊、滥用职权、玩忽职守，构成犯罪的，依法追究刑事责任。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（一）要求对依法必须进行招标的项目不招标，或者要求对依法应当公开招标的项目不公开招标；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（二）要求评标委员会成员或者招标人以其指定的投标人作为中标候选人或者中标人，或者以其他方式非法干涉评标活动，影响中标结果；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（三）以其他方式非法干涉招标投标活动。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依法必须进行招标的项目的招标投标活动违反招标投标法和本条例的规定，对中标结果造成实质性影响，且不能采取补救措施予以纠正的，招标、投标、中标无效，应当依法重新招标或者评标。</w:t>
      </w:r>
    </w:p>
    <w:p>
      <w:pPr>
        <w:pStyle w:val="2"/>
        <w:jc w:val="center"/>
        <w:rPr>
          <w:rFonts w:hint="eastAsia" w:ascii="仿宋_GB2312" w:hAnsi="仿宋_GB2312" w:eastAsia="仿宋_GB2312" w:cs="仿宋_GB2312"/>
          <w:sz w:val="32"/>
          <w:szCs w:val="32"/>
        </w:rPr>
      </w:pPr>
      <w:r>
        <w:rPr>
          <w:rFonts w:hint="eastAsia" w:ascii="黑体" w:hAnsi="黑体" w:eastAsia="黑体" w:cs="黑体"/>
          <w:b w:val="0"/>
          <w:bCs/>
          <w:sz w:val="36"/>
          <w:szCs w:val="36"/>
        </w:rPr>
        <w:t>第七章</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附 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招标投标协会按照依法制定的章程开展活动，加强行业自律和服务。</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政府采购的法律、行政法规对政府采购货物、服务的招标投标另有规定的，从其规定。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本条例自2012年2月1日起施行。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权威解读</w:t>
      </w:r>
      <w:bookmarkStart w:id="0" w:name="_GoBack"/>
      <w:bookmarkEnd w:id="0"/>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12月20日，国务院总理温家宝签署国务院令公布《中华人民共和国招标投标法实施条例》（以下简称《条例》），《条例》自2012年2月1日起施行。国务院法制办、国家发展改革委、监察部负责人就《条例》的有关问题回答了记者的提问。</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制定《条例》的意义</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投标法自2000年1月1日施行以来，对于推进招标采购制度的实施，促进公平竞争，加强反腐败制度建设，节约公共采购资金，保证采购质量，发挥了重要作用。随着招标采购方式的广泛应用，招标投标活动也出现了一些亟待解决的突出问题：一些依法必须招标的项目规避招标或者搞“明招暗定”的虚假招标，有的领导干部利用权力插手干预招标投标活动，搞权钱交易，使工程建设和其他公共采购领域成为腐败现象易发、多发的重灾区；一些招标投标活动当事人相互串通，围标串标，严重扰乱招标投标活动正常秩序，破坏公平竞争。招标投标活动中存在的突出问题，明显违反法律、法规已有的规定，同时也有相关制度需进一步完善的问题。认真总结招标投标法实施以来的实践经验，制定出台配套行政法规，将法律规定进一步具体化，增强可操作性，并针对新情况、新问题充实完善有关规定，进一步筑牢工程建设和其他公共采购领域预防和惩治腐败的制度屏障，维护招标投标活动的正常秩序，是必要的。制定出台《条例》，是落实中央部署、推动工程建设领域反腐败长效机制建设的一项重要任务，是解决招标投标领域突出问题、促进公平竞争、预防和惩治腐败的一项重要举措。</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对维护招标投标正常秩序的规定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《条例》针对当前突出问题，主要细化、完善了保障公开公平公正、预防和惩治腐败、维护招标投标正常秩序的规定。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进一步明确应当公开招标的项目范围。针对一些应当公开招标的项目以法律规定不明确为借口规避公开招标的问题，《条例》规定：凡属国有资金占控股或者主导地位的依法必须招标的项目，除因技术复杂、有特殊要求或者只有少数潜在投标人可供选择等特殊情形不适宜公开招标的以外，都应当公开招标；负责建设项目审批、核准的部门应当审核确定项目的招标范围、招标方式和招标组织形式，并通报招标投标行政监督部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充实细化防止虚假招标的规定。实践中搞虚假招标、“明招暗定”的主要手段之一，是招标人以不公正、不合理的投标人资格条件和中标条件以及不规范的投标人资格审查办法限制、排斥其他投标人，以使其事先内定的投标人中标。针对这一问题，《条例》充实细化了禁止以不合理条件和不规范的资格审查办法限制、排斥投标人的规定，不得对不同的投标人采取不同的资格审查或者评标标准，不得设定与招标项目具体特点和实际需要不相适应或者与合同履行无关的资格审查和中标条件，不得以特定业绩、奖项作为中标条件，不得限定特定的专利、商标、品牌或者供应商等。实践中搞虚假招标、“明招暗定”的另一主要手段，是招标人以各种方式与其内定的投标人串通，帮助其中标。针对这一问题，《条例》在重申禁止招标人与投标人串通投标的法律规定的同时，对属于招标人与投标人串通投标的具体情形作了细化，为依法认定和严厉惩治这类违法行为提供更明确的执法依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禁止在招标结束后违反招标文件的规定和中标人的投标承诺订立合同，防止招标人与中标人串通搞权钱交易。《条例》规定：招标人和中标人应当依照招标投标法和《条例》的规定签订书面合同，合同的标的、价款、质量、履行期限等主要条款应当与招标文件、中标人的投标文件的内容一致；招标人和中标人不得再行订立背离合同实质性内容的其他协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完善防止和严惩串通投标、弄虚作假骗取中标行为的规定。投标人串通投标，以行贿谋取中标，以及弄虚作假骗取中标的行为，对正常的招标投标竞争秩序危害甚大，应当依法严惩、坚决遏制。《条例》在对串通投标行为和弄虚作假骗取中标行为的认定作出明确具体规定的同时，依据招标投标法，进一步充实细化了相关的法律责任，规定有此类行为的，中标无效，没收违法所得，处以罚款；对违法情节严重的投标人取消其一定期限内参加依法必须进行招标的项目的投标资格，直至吊销其营业执照；构成犯罪的，依法追究刑事责任。</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对评标委员会成员及其评标行为的规定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为确保公正评标，一要规范地选取评标委员会成员，二要规范评标行为，《条例》进一步完善了这方面的规定。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有的领导干部、招标单位负责人滥用权力干预评标委员会成员的选取，指定或变相指定评标委员会专家成员，严重妨碍公正评标的问题，《条例》规定：省级人民政府和国务院有关部门应当组建综合评标专家库。除招标投标法规定的特殊招标项目外，评标委员会的专家成员应当从评标专家库内相关专业的专家名单中以随机抽取的方式确定。任何单位和个人不得指定或者变相指定参加评标委员会的专家成员。招标人非因法定事由，不得更换依法确定的评标委员会成员。有关行政监督部门应当按照规定的职责分工，对评标委员会成员的确定方式、评标专家的抽取和评标活动进行监督。同时对违法确定、更换评标委员会成员的法律责任作了明确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有的评标委员会成员不依法客观公正履行职务，甚至徇私舞弊的问题，为严格规范评标委员会成员的评标行为，保障评标公平公正，《条例》规定：评标委员会成员应当按照招标文件规定的评标标准和方法，客观、公正地对投标文件提出评审意见。评标委员会成员不得私下接触投标人，不得收受投标人给予的财物或者其他好处，不得向招标人征询确定中标人的意向或者接受任何单位或者个人提出的倾向或者排斥特定投标人的要求，不得有其他不客观、不公正履行职务的行为。同时对评标委员会成员不依法客观公正履行职务的法律责任作了明确规定。</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对领导干部插手干预招标投标活动的规定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投标领域仍然是违法违纪问题的易发高发领域。领导干部违规插手干预招标投标活动、进行权钱交易等问题还比较突出，社会对此反映强烈。有关法律法规和党纪政纪对禁止领导干部等国家工作人员插手干预招标投标活动已有明确规定。为切实落实要将严格禁止利用权力干预、操纵招标投标活动“作为一条‘高压线’，谁碰就依法处理谁”的要求，《条例》重申规定：禁止国家工作人员以任何方式非法干涉招标投标活动。国家工作人员利用职务便利，以直接或者间接、明示或者暗示等任何方式要求对依法必须进行招标的项目不招标的，或者要求对依法应当公开招标的项目不公开招标的，要求评标委员会成员或者招标人选定所指定的投标人为中标候选人或者中标人的，或者以其他方式非法干涉评标活动影响中标结果的，依法给予记过或者记大过处分；情节严重的，依法给予降级或者撤职处分；情节特别严重的，依法给予开除处分；构成犯罪的，依法追究刑事责任。这里讲的“国家工作人员”，依照法律规定，包括国家机关工作人员和国有企业、事业单位中依法从事公务的人员。另外，条例还明确规定，监察机关依法对与招标投标活动有关的监察对象实施监察。这与《行政监察法》、《行政机关公务员处分条例》及国家有关政策规定相衔接，有利于加强对有关政府部门及其工作人员的行政监察，严肃查处国家工作人员插手干预招标投标活动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保障严格执法，落实行政问责制度，《条例》规定：有关行政监督部门不依法履行职责，对违法行为不依法查处，或者不按照规定处理投诉、不依法公告对招标投标当事人违法行为的行政处理决定的，对直接负责的主管人员和其他直接责任人员依法给予处分；构成犯罪的，依法追究刑事责任。 </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对招标投标交易场所的规定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些地方设立了开展招标投标活动的场所，有工程交易中心、公共资源交易中心等，《条例》将其称为“招标投标交易场所”。在功能定位上，《条例》规定招标投标交易场所应立足于为招投标活动提供服务。在与行政监督部门的关系上，《条例》规定招标投标交易场所不得与行政监督部门存在隶属关系。在设立的层级上，《条例》规定设区的市级以上地方人民政府可以根据实际需要建立统一规范的招标投标交易场所。同时，《条例》规定招标投标交易场所不得以营利为目的。</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使“诚信者受益，失信者惩戒”的机制在招标投标活动中得以体现，《条例》规定：国家建立招标投标信用制度。有关行政监督部门应当依法公告对招标人、招标代理机构、投标人、评标委员会成员等当事人违法行为的行政处理决定。 </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对《条例》贯彻实施的安排</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投标法实施条例》的颁布实施是国家法制建设中促进公平竞争、预防和惩治腐败的又一重大举措，要高度重视并切实做好《条例》的贯彻实施工作。一是做好宣传培训。通过新闻宣传、人员培训等多种方式，积极营造认真学习《条例》、自觉执行《条例》的氛围。二是清理完善配套规定。各部门、各地方要对涉及招标投标的地方性法规、部门和地方政府规章以及规范性文件进行一次全面清理，及时修改、废止并对外公布。需要制定配套规定的，要抓紧制定出台。三是加强监督执法。按照中央关于工程建设领域突出问题专项治理工作的部署，集中开展执法检查，重点查处围标串标、弄虚作假、插手干预招投标活动等违法违规行为，切实维护招投标市场秩序。四是公布一批典型案例。我们对工程建设领域突出问题专项治理以来查处的典型案例进行了认真梳理和剖析，将适时向社会公布。 </w:t>
      </w:r>
    </w:p>
    <w:p>
      <w:pPr>
        <w:pStyle w:val="2"/>
        <w:jc w:val="center"/>
        <w:rPr>
          <w:rFonts w:hint="eastAsia" w:ascii="黑体" w:hAnsi="黑体" w:eastAsia="黑体" w:cs="黑体"/>
          <w:b w:val="0"/>
          <w:bCs/>
          <w:lang w:eastAsia="zh-CN"/>
        </w:rPr>
      </w:pPr>
      <w:r>
        <w:rPr>
          <w:rFonts w:hint="eastAsia" w:ascii="黑体" w:hAnsi="黑体" w:eastAsia="黑体" w:cs="黑体"/>
          <w:b w:val="0"/>
          <w:bCs/>
          <w:lang w:eastAsia="zh-CN"/>
        </w:rPr>
        <w:t>重点修改内容</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2018年3月19日国务院总理李克强日前签署国务院令，公布《国务院关于修改和废止部分行政法规的决定》，自公布之日起施行。修改后的《招标投标法实施条例》如下：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国务院住房城乡建设、商务、发展改革、工业和信息化等部门，按照规定的职责分工对招标代理机构依法实施监督管理。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招标代理机构在招标人委托的范围内开展招标代理业务，任何单位和个人不得非法干涉。</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招标代理机构代理招标业务，应当遵守招标投标法和本条例关于招标人的规定。招标代理机构不得在所代理的招标项目中投标或者代理投标，也不得为所代理的招标项目的投标人提供咨询。</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届全国人民代表大会常务委员会第三十一次会议决定：删去《招标投标法》第十三条第二款第三项和第十四条第一款；将《招标投标法》第五十条第一款中的“情节严重的，暂停直至取消招标代理资格”修改为“情节严重的，禁止其一年至二年内代理依法必须进行招标的项目并予以公告，直至由工商行政管理机关吊销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B3732"/>
    <w:multiLevelType w:val="singleLevel"/>
    <w:tmpl w:val="971B3732"/>
    <w:lvl w:ilvl="0" w:tentative="0">
      <w:start w:val="5"/>
      <w:numFmt w:val="chineseCounting"/>
      <w:suff w:val="space"/>
      <w:lvlText w:val="第%1条"/>
      <w:lvlJc w:val="left"/>
      <w:rPr>
        <w:rFonts w:hint="eastAsia"/>
      </w:rPr>
    </w:lvl>
  </w:abstractNum>
  <w:abstractNum w:abstractNumId="1">
    <w:nsid w:val="AC194140"/>
    <w:multiLevelType w:val="singleLevel"/>
    <w:tmpl w:val="AC194140"/>
    <w:lvl w:ilvl="0" w:tentative="0">
      <w:start w:val="19"/>
      <w:numFmt w:val="chineseCounting"/>
      <w:suff w:val="space"/>
      <w:lvlText w:val="第%1条"/>
      <w:lvlJc w:val="left"/>
      <w:rPr>
        <w:rFonts w:hint="eastAsia"/>
      </w:rPr>
    </w:lvl>
  </w:abstractNum>
  <w:abstractNum w:abstractNumId="2">
    <w:nsid w:val="03758DA5"/>
    <w:multiLevelType w:val="singleLevel"/>
    <w:tmpl w:val="03758DA5"/>
    <w:lvl w:ilvl="0" w:tentative="0">
      <w:start w:val="16"/>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53E7A"/>
    <w:rsid w:val="02340327"/>
    <w:rsid w:val="04264D5C"/>
    <w:rsid w:val="2D953E7A"/>
    <w:rsid w:val="417F2C31"/>
    <w:rsid w:val="54F941F0"/>
    <w:rsid w:val="5F3B1884"/>
    <w:rsid w:val="62413D56"/>
    <w:rsid w:val="62DF592E"/>
    <w:rsid w:val="71B3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安徽省地质实验研究所（国土资源部合肥矿产资源监督检测中心）</Company>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2018-12-17T06:56:00Z</dcterms:created>
  <dc:creator>leroy</dc:creator>
  <cp:lastModifiedBy>leroy</cp:lastModifiedBy>
  <dcterms:modified xsi:type="dcterms:W3CDTF">2018-12-17T07:16:49Z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